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E54" w:rsidRPr="008A4095" w:rsidRDefault="00C51693" w:rsidP="003F664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A4095">
        <w:rPr>
          <w:rFonts w:ascii="Times New Roman" w:hAnsi="Times New Roman" w:cs="Times New Roman"/>
          <w:b/>
          <w:sz w:val="27"/>
          <w:szCs w:val="27"/>
        </w:rPr>
        <w:t xml:space="preserve">TƯ VẤN </w:t>
      </w:r>
      <w:r w:rsidR="00F40F52" w:rsidRPr="008A4095">
        <w:rPr>
          <w:rFonts w:ascii="Times New Roman" w:hAnsi="Times New Roman" w:cs="Times New Roman"/>
          <w:b/>
          <w:sz w:val="27"/>
          <w:szCs w:val="27"/>
        </w:rPr>
        <w:t xml:space="preserve">QUY TRÌNH VÀ CÁC BƯỚC </w:t>
      </w:r>
    </w:p>
    <w:p w:rsidR="00094B87" w:rsidRPr="008A4095" w:rsidRDefault="00F40F52" w:rsidP="003F664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A4095">
        <w:rPr>
          <w:rFonts w:ascii="Times New Roman" w:hAnsi="Times New Roman" w:cs="Times New Roman"/>
          <w:b/>
          <w:sz w:val="27"/>
          <w:szCs w:val="27"/>
        </w:rPr>
        <w:t xml:space="preserve">THỰC HIỆN </w:t>
      </w:r>
      <w:r w:rsidR="007B0730" w:rsidRPr="008A4095">
        <w:rPr>
          <w:rFonts w:ascii="Times New Roman" w:hAnsi="Times New Roman" w:cs="Times New Roman"/>
          <w:b/>
          <w:sz w:val="27"/>
          <w:szCs w:val="27"/>
        </w:rPr>
        <w:t xml:space="preserve">DỰ ÁN </w:t>
      </w:r>
      <w:r w:rsidR="00E70655" w:rsidRPr="008A4095">
        <w:rPr>
          <w:rFonts w:ascii="Times New Roman" w:hAnsi="Times New Roman" w:cs="Times New Roman"/>
          <w:b/>
          <w:sz w:val="27"/>
          <w:szCs w:val="27"/>
        </w:rPr>
        <w:t>CNTT</w:t>
      </w:r>
      <w:r w:rsidR="00725E54" w:rsidRPr="008A409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B0730" w:rsidRPr="008A4095">
        <w:rPr>
          <w:rFonts w:ascii="Times New Roman" w:hAnsi="Times New Roman" w:cs="Times New Roman"/>
          <w:b/>
          <w:sz w:val="27"/>
          <w:szCs w:val="27"/>
        </w:rPr>
        <w:t>SỬ DỤNG NGUỒN KINH PHÍ SỰ NGHIỆP</w:t>
      </w:r>
    </w:p>
    <w:p w:rsidR="00E7495D" w:rsidRPr="008A4095" w:rsidRDefault="00E7495D" w:rsidP="00EE3C6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8A4095">
        <w:rPr>
          <w:rFonts w:ascii="Times New Roman" w:hAnsi="Times New Roman" w:cs="Times New Roman"/>
          <w:b/>
          <w:bCs/>
          <w:sz w:val="27"/>
          <w:szCs w:val="27"/>
        </w:rPr>
        <w:t>(</w:t>
      </w:r>
      <w:r w:rsidRPr="008A4095">
        <w:rPr>
          <w:rFonts w:ascii="Times New Roman" w:hAnsi="Times New Roman" w:cs="Times New Roman"/>
          <w:b/>
          <w:bCs/>
          <w:i/>
          <w:sz w:val="27"/>
          <w:szCs w:val="27"/>
        </w:rPr>
        <w:t xml:space="preserve">Quy trình thực hiện </w:t>
      </w:r>
      <w:r w:rsidR="00725E54" w:rsidRPr="008A4095">
        <w:rPr>
          <w:rFonts w:ascii="Times New Roman" w:hAnsi="Times New Roman" w:cs="Times New Roman"/>
          <w:b/>
          <w:bCs/>
          <w:i/>
          <w:sz w:val="27"/>
          <w:szCs w:val="27"/>
        </w:rPr>
        <w:t xml:space="preserve">chung </w:t>
      </w:r>
      <w:r w:rsidRPr="008A4095">
        <w:rPr>
          <w:rFonts w:ascii="Times New Roman" w:hAnsi="Times New Roman" w:cs="Times New Roman"/>
          <w:b/>
          <w:bCs/>
          <w:i/>
          <w:sz w:val="27"/>
          <w:szCs w:val="27"/>
        </w:rPr>
        <w:t>đối với nguồn vốn là kinh phí sự nghiệp</w:t>
      </w:r>
      <w:r w:rsidR="00725E54" w:rsidRPr="008A4095">
        <w:rPr>
          <w:rFonts w:ascii="Times New Roman" w:hAnsi="Times New Roman" w:cs="Times New Roman"/>
          <w:b/>
          <w:bCs/>
          <w:i/>
          <w:sz w:val="27"/>
          <w:szCs w:val="27"/>
        </w:rPr>
        <w:t xml:space="preserve"> </w:t>
      </w:r>
      <w:r w:rsidR="001305E1" w:rsidRPr="008A4095">
        <w:rPr>
          <w:rFonts w:ascii="Times New Roman" w:hAnsi="Times New Roman" w:cs="Times New Roman"/>
          <w:b/>
          <w:bCs/>
          <w:i/>
          <w:sz w:val="27"/>
          <w:szCs w:val="27"/>
        </w:rPr>
        <w:t xml:space="preserve">dưới </w:t>
      </w:r>
      <w:r w:rsidR="00725E54" w:rsidRPr="008A4095">
        <w:rPr>
          <w:rFonts w:ascii="Times New Roman" w:hAnsi="Times New Roman" w:cs="Times New Roman"/>
          <w:b/>
          <w:bCs/>
          <w:i/>
          <w:sz w:val="27"/>
          <w:szCs w:val="27"/>
        </w:rPr>
        <w:t>03 tỷ đồng</w:t>
      </w:r>
      <w:r w:rsidRPr="008A4095"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tbl>
      <w:tblPr>
        <w:tblW w:w="10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8"/>
        <w:gridCol w:w="4050"/>
        <w:gridCol w:w="4770"/>
        <w:gridCol w:w="1080"/>
      </w:tblGrid>
      <w:tr w:rsidR="00F40F52" w:rsidRPr="008A4095" w:rsidTr="00546E00">
        <w:trPr>
          <w:trHeight w:val="683"/>
        </w:trPr>
        <w:tc>
          <w:tcPr>
            <w:tcW w:w="738" w:type="dxa"/>
            <w:vAlign w:val="center"/>
          </w:tcPr>
          <w:p w:rsidR="00F40F52" w:rsidRPr="008A4095" w:rsidRDefault="00F40F52" w:rsidP="003F66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val="nl-NL"/>
              </w:rPr>
            </w:pPr>
            <w:r w:rsidRPr="008A4095">
              <w:rPr>
                <w:rFonts w:ascii="Times New Roman" w:eastAsia="Calibri" w:hAnsi="Times New Roman" w:cs="Times New Roman"/>
                <w:b/>
                <w:sz w:val="27"/>
                <w:szCs w:val="27"/>
                <w:lang w:val="nl-NL"/>
              </w:rPr>
              <w:t>S</w:t>
            </w:r>
            <w:r w:rsidRPr="008A4095"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  <w:t>ố TT</w:t>
            </w:r>
          </w:p>
        </w:tc>
        <w:tc>
          <w:tcPr>
            <w:tcW w:w="4050" w:type="dxa"/>
            <w:vAlign w:val="center"/>
          </w:tcPr>
          <w:p w:rsidR="00F40F52" w:rsidRPr="008A4095" w:rsidRDefault="00F40F52" w:rsidP="003F66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val="nl-NL"/>
              </w:rPr>
            </w:pPr>
            <w:r w:rsidRPr="008A4095">
              <w:rPr>
                <w:rFonts w:ascii="Times New Roman" w:eastAsia="Calibri" w:hAnsi="Times New Roman" w:cs="Times New Roman"/>
                <w:b/>
                <w:sz w:val="27"/>
                <w:szCs w:val="27"/>
                <w:lang w:val="nl-NL"/>
              </w:rPr>
              <w:t>Nội dung công việc</w:t>
            </w:r>
          </w:p>
        </w:tc>
        <w:tc>
          <w:tcPr>
            <w:tcW w:w="4770" w:type="dxa"/>
            <w:vAlign w:val="center"/>
          </w:tcPr>
          <w:p w:rsidR="00F40F52" w:rsidRPr="008A4095" w:rsidRDefault="00F40F52" w:rsidP="003F6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  <w:r w:rsidRPr="008A4095"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  <w:t>Sản phẩm</w:t>
            </w:r>
          </w:p>
        </w:tc>
        <w:tc>
          <w:tcPr>
            <w:tcW w:w="1080" w:type="dxa"/>
            <w:vAlign w:val="center"/>
          </w:tcPr>
          <w:p w:rsidR="00F40F52" w:rsidRPr="008A4095" w:rsidRDefault="00BB7972" w:rsidP="003F6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  <w:r w:rsidRPr="008A4095"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  <w:t>Ghi chú</w:t>
            </w:r>
          </w:p>
        </w:tc>
      </w:tr>
      <w:tr w:rsidR="00590DEA" w:rsidRPr="008A4095" w:rsidTr="00546E00">
        <w:trPr>
          <w:trHeight w:val="746"/>
        </w:trPr>
        <w:tc>
          <w:tcPr>
            <w:tcW w:w="738" w:type="dxa"/>
            <w:vAlign w:val="center"/>
          </w:tcPr>
          <w:p w:rsidR="00590DEA" w:rsidRPr="008A4095" w:rsidRDefault="00590DEA" w:rsidP="008F6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  <w:r w:rsidRPr="008A4095"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  <w:t>I</w:t>
            </w:r>
          </w:p>
        </w:tc>
        <w:tc>
          <w:tcPr>
            <w:tcW w:w="9900" w:type="dxa"/>
            <w:gridSpan w:val="3"/>
            <w:vAlign w:val="center"/>
          </w:tcPr>
          <w:p w:rsidR="008F679F" w:rsidRPr="008A4095" w:rsidRDefault="00590DEA" w:rsidP="008F6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  <w:r w:rsidRPr="008A4095"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  <w:t>GIAI ĐOẠN CHUẨN BỊ ĐẦU TƯ</w:t>
            </w:r>
          </w:p>
          <w:p w:rsidR="00590DEA" w:rsidRPr="008A4095" w:rsidRDefault="00590DEA" w:rsidP="00130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  <w:r w:rsidRPr="008A4095"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  <w:t xml:space="preserve">(KHẢO SÁT, LẬP VÀ PHÊ DUYỆT </w:t>
            </w:r>
            <w:r w:rsidR="001305E1" w:rsidRPr="008A4095"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  <w:t>ĐỀ CƯƠNG VÀ DỰ TOÁN</w:t>
            </w:r>
            <w:r w:rsidRPr="008A4095"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  <w:t>)</w:t>
            </w:r>
          </w:p>
        </w:tc>
      </w:tr>
      <w:tr w:rsidR="008A4095" w:rsidRPr="008A4095" w:rsidTr="00546E00">
        <w:tc>
          <w:tcPr>
            <w:tcW w:w="738" w:type="dxa"/>
            <w:vAlign w:val="center"/>
          </w:tcPr>
          <w:p w:rsidR="008A4095" w:rsidRPr="008A4095" w:rsidRDefault="008A4095" w:rsidP="0096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1</w:t>
            </w:r>
          </w:p>
        </w:tc>
        <w:tc>
          <w:tcPr>
            <w:tcW w:w="4050" w:type="dxa"/>
            <w:vAlign w:val="center"/>
          </w:tcPr>
          <w:p w:rsidR="008A4095" w:rsidRPr="008A4095" w:rsidRDefault="008A4095" w:rsidP="008A409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 Lập Kế hoạch CNTT hàng năm, trong đó có các dự án ứng dụng CNTT </w:t>
            </w:r>
            <w:r w:rsidRPr="008A4095">
              <w:rPr>
                <w:rFonts w:ascii="Times New Roman" w:hAnsi="Times New Roman"/>
                <w:bCs/>
                <w:sz w:val="27"/>
                <w:szCs w:val="27"/>
                <w:lang w:val="nl-NL"/>
              </w:rPr>
              <w:t xml:space="preserve">(Khoản 2 – Điều 5 của Nghị định </w:t>
            </w:r>
            <w:r w:rsidRPr="008A4095">
              <w:rPr>
                <w:rFonts w:ascii="Times New Roman" w:hAnsi="Times New Roman" w:cs="Times New Roman"/>
                <w:bCs/>
                <w:sz w:val="27"/>
                <w:szCs w:val="27"/>
                <w:lang w:val="nl-NL"/>
              </w:rPr>
              <w:t>102/2009/NĐ-CP</w:t>
            </w:r>
            <w:r w:rsidRPr="008A4095">
              <w:rPr>
                <w:rFonts w:ascii="Times New Roman" w:hAnsi="Times New Roman"/>
                <w:bCs/>
                <w:sz w:val="27"/>
                <w:szCs w:val="27"/>
                <w:lang w:val="nl-NL"/>
              </w:rPr>
              <w:t>)</w:t>
            </w:r>
          </w:p>
        </w:tc>
        <w:tc>
          <w:tcPr>
            <w:tcW w:w="4770" w:type="dxa"/>
            <w:vAlign w:val="center"/>
          </w:tcPr>
          <w:p w:rsidR="008A4095" w:rsidRPr="008A4095" w:rsidRDefault="008A4095" w:rsidP="00960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 Kế hoạch được phê duyệt (của tỉnh, của đị</w:t>
            </w:r>
            <w:r w:rsidR="00546E00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a phương)</w:t>
            </w:r>
          </w:p>
          <w:p w:rsidR="008A4095" w:rsidRPr="008A4095" w:rsidRDefault="008A4095" w:rsidP="00960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</w:p>
        </w:tc>
        <w:tc>
          <w:tcPr>
            <w:tcW w:w="1080" w:type="dxa"/>
            <w:vAlign w:val="center"/>
          </w:tcPr>
          <w:p w:rsidR="008A4095" w:rsidRPr="008A4095" w:rsidRDefault="008A4095" w:rsidP="003216D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</w:p>
        </w:tc>
      </w:tr>
      <w:tr w:rsidR="00F40F52" w:rsidRPr="008A4095" w:rsidTr="00546E00">
        <w:tc>
          <w:tcPr>
            <w:tcW w:w="738" w:type="dxa"/>
            <w:vAlign w:val="center"/>
          </w:tcPr>
          <w:p w:rsidR="00F40F52" w:rsidRPr="008A4095" w:rsidRDefault="008A4095" w:rsidP="00321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2</w:t>
            </w:r>
          </w:p>
        </w:tc>
        <w:tc>
          <w:tcPr>
            <w:tcW w:w="4050" w:type="dxa"/>
            <w:vAlign w:val="center"/>
          </w:tcPr>
          <w:p w:rsidR="00F40F52" w:rsidRPr="008A4095" w:rsidRDefault="00F40F52" w:rsidP="00920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Thành lập </w:t>
            </w:r>
            <w:r w:rsidR="001305E1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Tổ giúp việc</w:t>
            </w: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; </w:t>
            </w:r>
            <w:r w:rsidR="008C2161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Chủ đầu tư tổ chức họp thông qua các bước triển khai; </w:t>
            </w: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phân công nhiệm vụ cho các thành viên</w:t>
            </w:r>
          </w:p>
        </w:tc>
        <w:tc>
          <w:tcPr>
            <w:tcW w:w="4770" w:type="dxa"/>
            <w:vAlign w:val="center"/>
          </w:tcPr>
          <w:p w:rsidR="007B0730" w:rsidRPr="008A4095" w:rsidRDefault="007B0730" w:rsidP="00920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- </w:t>
            </w:r>
            <w:r w:rsidR="00F40F52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Quyết định thành lập </w:t>
            </w:r>
            <w:r w:rsidR="001305E1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Tổ giúp việc</w:t>
            </w:r>
            <w:r w:rsidR="00F40F52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 của Chủ đầu tư; </w:t>
            </w:r>
          </w:p>
          <w:p w:rsidR="00F40F52" w:rsidRPr="008A4095" w:rsidRDefault="008C2161" w:rsidP="00920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- Chủ đầu tư tổ chức buổi họp;</w:t>
            </w:r>
            <w:r w:rsidR="007B0730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 </w:t>
            </w:r>
            <w:r w:rsidR="00FE1A32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Bảng p</w:t>
            </w:r>
            <w:r w:rsidR="00F40F52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hân công nhiệm vụ của </w:t>
            </w:r>
            <w:r w:rsidR="001305E1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Tổ giúp việc</w:t>
            </w:r>
            <w:r w:rsidR="00FC4E02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 cho các thành viên</w:t>
            </w:r>
          </w:p>
        </w:tc>
        <w:tc>
          <w:tcPr>
            <w:tcW w:w="1080" w:type="dxa"/>
            <w:vAlign w:val="center"/>
          </w:tcPr>
          <w:p w:rsidR="00F40F52" w:rsidRPr="008A4095" w:rsidRDefault="00F40F52" w:rsidP="003216D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</w:p>
        </w:tc>
      </w:tr>
      <w:tr w:rsidR="00F40F52" w:rsidRPr="008A4095" w:rsidTr="00546E00">
        <w:tc>
          <w:tcPr>
            <w:tcW w:w="738" w:type="dxa"/>
            <w:vAlign w:val="center"/>
          </w:tcPr>
          <w:p w:rsidR="00F40F52" w:rsidRPr="008A4095" w:rsidRDefault="008A4095" w:rsidP="00321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3</w:t>
            </w:r>
          </w:p>
        </w:tc>
        <w:tc>
          <w:tcPr>
            <w:tcW w:w="4050" w:type="dxa"/>
            <w:vAlign w:val="center"/>
          </w:tcPr>
          <w:p w:rsidR="007B0730" w:rsidRPr="008A4095" w:rsidRDefault="00EE3C6D" w:rsidP="00920A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Chọn đơn vị tư vấn lập Đề cương và dự toán </w:t>
            </w:r>
            <w:r w:rsidR="00E70655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(</w:t>
            </w:r>
            <w:r w:rsidR="00E70655" w:rsidRPr="008A4095">
              <w:rPr>
                <w:rFonts w:ascii="Times New Roman" w:hAnsi="Times New Roman" w:cs="Times New Roman"/>
                <w:i/>
                <w:sz w:val="27"/>
                <w:szCs w:val="27"/>
                <w:lang w:val="nl-NL"/>
              </w:rPr>
              <w:t>đã từng lập dự án CNTT theo quy định của Bộ TT&amp;TT</w:t>
            </w:r>
            <w:r w:rsidR="00E70655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) </w:t>
            </w:r>
            <w:r w:rsidR="000F0883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để tư vấn </w:t>
            </w:r>
            <w:r w:rsidR="00F40F52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khảo sát, lập </w:t>
            </w:r>
            <w:r w:rsidR="00BB7972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Đề cương và Dự toán</w:t>
            </w:r>
            <w:r w:rsidR="007B0730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;</w:t>
            </w:r>
          </w:p>
        </w:tc>
        <w:tc>
          <w:tcPr>
            <w:tcW w:w="4770" w:type="dxa"/>
            <w:vAlign w:val="center"/>
          </w:tcPr>
          <w:p w:rsidR="007B0730" w:rsidRPr="008A4095" w:rsidRDefault="007B0730" w:rsidP="00920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- </w:t>
            </w:r>
            <w:r w:rsidR="00F40F52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Công văn mời đơn vị tư vấn đủ năng lực kèm dự thảo hợp đồng tư vấn</w:t>
            </w: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 (đơn vị tư vấn có văn bản chấp nhận kèm hồ sơ năng lực)</w:t>
            </w:r>
            <w:r w:rsidR="00F40F52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;</w:t>
            </w:r>
          </w:p>
          <w:p w:rsidR="00F40F52" w:rsidRPr="008A4095" w:rsidRDefault="007B0730" w:rsidP="00920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- Hồ sơ hợp đồng tư vấn gồm: </w:t>
            </w:r>
            <w:r w:rsidR="00F40F52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Biên bản thương thảo hợp đồng</w:t>
            </w: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 giữa 2 bên</w:t>
            </w:r>
            <w:r w:rsidR="00F40F52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; </w:t>
            </w:r>
            <w:r w:rsidR="000F0883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Biên bản họp chỉ định thầu</w:t>
            </w:r>
            <w:r w:rsidR="00EE3C6D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 tư vấn</w:t>
            </w:r>
            <w:r w:rsidR="000F0883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; Quyết định chỉ định thầu tư vấn của Chủ đầu tư, Hợp đồng chính thức được ký kết</w:t>
            </w:r>
          </w:p>
        </w:tc>
        <w:tc>
          <w:tcPr>
            <w:tcW w:w="1080" w:type="dxa"/>
            <w:vAlign w:val="center"/>
          </w:tcPr>
          <w:p w:rsidR="00F40F52" w:rsidRPr="008A4095" w:rsidRDefault="00F40F52" w:rsidP="00FE1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</w:p>
        </w:tc>
      </w:tr>
      <w:tr w:rsidR="007B0730" w:rsidRPr="008A4095" w:rsidTr="00546E00">
        <w:tc>
          <w:tcPr>
            <w:tcW w:w="738" w:type="dxa"/>
            <w:vAlign w:val="center"/>
          </w:tcPr>
          <w:p w:rsidR="007B0730" w:rsidRPr="008A4095" w:rsidRDefault="008A4095" w:rsidP="00321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4</w:t>
            </w:r>
          </w:p>
        </w:tc>
        <w:tc>
          <w:tcPr>
            <w:tcW w:w="4050" w:type="dxa"/>
            <w:vAlign w:val="center"/>
          </w:tcPr>
          <w:p w:rsidR="007B0730" w:rsidRPr="008A4095" w:rsidRDefault="007B0730" w:rsidP="00920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Đơn vị tư vấn tổ chức khảo sát, lập </w:t>
            </w:r>
            <w:r w:rsidR="00BB7972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Đề cương </w:t>
            </w: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và dự toán</w:t>
            </w:r>
            <w:r w:rsidR="00920A84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 (Nội dung này Sở TT&amp;TT thường tự lập; còn các đơn vị khác thì nên thuê tư vấn)</w:t>
            </w:r>
          </w:p>
        </w:tc>
        <w:tc>
          <w:tcPr>
            <w:tcW w:w="4770" w:type="dxa"/>
            <w:vAlign w:val="center"/>
          </w:tcPr>
          <w:p w:rsidR="008A4095" w:rsidRPr="008A4095" w:rsidRDefault="008A4095" w:rsidP="00920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- Báo cáo kết quả khảo sát (nếu có khảo sát);</w:t>
            </w:r>
          </w:p>
          <w:p w:rsidR="007B0730" w:rsidRPr="008A4095" w:rsidRDefault="008A4095" w:rsidP="00920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- </w:t>
            </w:r>
            <w:r w:rsidR="00BB7972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Đề cương và dự toán</w:t>
            </w: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 của dự án</w:t>
            </w:r>
          </w:p>
        </w:tc>
        <w:tc>
          <w:tcPr>
            <w:tcW w:w="1080" w:type="dxa"/>
            <w:vAlign w:val="center"/>
          </w:tcPr>
          <w:p w:rsidR="007B0730" w:rsidRPr="008A4095" w:rsidRDefault="007B0730" w:rsidP="00FE1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</w:p>
        </w:tc>
      </w:tr>
      <w:tr w:rsidR="007B0730" w:rsidRPr="008A4095" w:rsidTr="00546E00">
        <w:tc>
          <w:tcPr>
            <w:tcW w:w="738" w:type="dxa"/>
            <w:vAlign w:val="center"/>
          </w:tcPr>
          <w:p w:rsidR="007B0730" w:rsidRPr="008A4095" w:rsidRDefault="008A4095" w:rsidP="00321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5</w:t>
            </w:r>
          </w:p>
        </w:tc>
        <w:tc>
          <w:tcPr>
            <w:tcW w:w="4050" w:type="dxa"/>
            <w:vAlign w:val="center"/>
          </w:tcPr>
          <w:p w:rsidR="00E7495D" w:rsidRPr="008A4095" w:rsidRDefault="007B0730" w:rsidP="00920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Lập văn bản đề nghị cơ quan chuyên môn (Sở TT&amp;TT) thẩm định </w:t>
            </w:r>
            <w:r w:rsidR="00BB7972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Đề cương và dự toán</w:t>
            </w:r>
            <w:r w:rsidR="000D4FA0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 (kèm theo hồ sơ)</w:t>
            </w:r>
          </w:p>
        </w:tc>
        <w:tc>
          <w:tcPr>
            <w:tcW w:w="4770" w:type="dxa"/>
            <w:vAlign w:val="center"/>
          </w:tcPr>
          <w:p w:rsidR="007B0730" w:rsidRPr="008A4095" w:rsidRDefault="007B0730" w:rsidP="00920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Báo cáo thẩm định </w:t>
            </w:r>
            <w:r w:rsidR="00BB7972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Đề cương và dự toán </w:t>
            </w: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của Sở Thông tin và Truyền thông</w:t>
            </w:r>
          </w:p>
        </w:tc>
        <w:tc>
          <w:tcPr>
            <w:tcW w:w="1080" w:type="dxa"/>
            <w:vAlign w:val="center"/>
          </w:tcPr>
          <w:p w:rsidR="007B0730" w:rsidRPr="008A4095" w:rsidRDefault="007B0730" w:rsidP="00F8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</w:p>
        </w:tc>
      </w:tr>
      <w:tr w:rsidR="007B0730" w:rsidRPr="008A4095" w:rsidTr="00546E00">
        <w:tc>
          <w:tcPr>
            <w:tcW w:w="738" w:type="dxa"/>
            <w:vAlign w:val="center"/>
          </w:tcPr>
          <w:p w:rsidR="007B0730" w:rsidRPr="008A4095" w:rsidRDefault="008A4095" w:rsidP="00321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6</w:t>
            </w:r>
          </w:p>
        </w:tc>
        <w:tc>
          <w:tcPr>
            <w:tcW w:w="4050" w:type="dxa"/>
            <w:vAlign w:val="center"/>
          </w:tcPr>
          <w:p w:rsidR="007B0730" w:rsidRPr="008A4095" w:rsidRDefault="007B0730" w:rsidP="00421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Lập hồ sơ trình </w:t>
            </w:r>
            <w:r w:rsidR="008A4095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 </w:t>
            </w: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UBND </w:t>
            </w:r>
            <w:r w:rsidR="008A4095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cấp huyện</w:t>
            </w: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 </w:t>
            </w:r>
            <w:r w:rsidR="008A4095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(thông qua phòng TCKH) </w:t>
            </w: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bố trí nguồn vốn </w:t>
            </w:r>
            <w:r w:rsidR="0042115F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(</w:t>
            </w:r>
            <w:r w:rsidR="0042115F" w:rsidRPr="008A4095">
              <w:rPr>
                <w:rFonts w:ascii="Times New Roman" w:hAnsi="Times New Roman" w:cs="Times New Roman"/>
                <w:i/>
                <w:sz w:val="27"/>
                <w:szCs w:val="27"/>
                <w:lang w:val="nl-NL"/>
              </w:rPr>
              <w:t>nếu</w:t>
            </w:r>
            <w:r w:rsidR="00920A84" w:rsidRPr="008A4095">
              <w:rPr>
                <w:rFonts w:ascii="Times New Roman" w:hAnsi="Times New Roman" w:cs="Times New Roman"/>
                <w:i/>
                <w:sz w:val="27"/>
                <w:szCs w:val="27"/>
                <w:lang w:val="nl-NL"/>
              </w:rPr>
              <w:t xml:space="preserve"> chưa được bố trí vốn theo KH ứng dụng CNTT hàng năm</w:t>
            </w:r>
            <w:r w:rsidR="00400CC1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)</w:t>
            </w:r>
          </w:p>
          <w:p w:rsidR="0042115F" w:rsidRPr="008A4095" w:rsidRDefault="0042115F" w:rsidP="00421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Nếu vốn đã bố trí thì bỏ qua bước này</w:t>
            </w:r>
          </w:p>
        </w:tc>
        <w:tc>
          <w:tcPr>
            <w:tcW w:w="4770" w:type="dxa"/>
            <w:vAlign w:val="center"/>
          </w:tcPr>
          <w:p w:rsidR="007B0730" w:rsidRPr="008A4095" w:rsidRDefault="00400CC1" w:rsidP="00920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Tờ trình và hồ sơ; Nếu đồng ý, UBND tỉnh ban hành văn bản thống nhất bố trí kinh phí và ghi rõ nguồn</w:t>
            </w:r>
          </w:p>
        </w:tc>
        <w:tc>
          <w:tcPr>
            <w:tcW w:w="1080" w:type="dxa"/>
            <w:vAlign w:val="center"/>
          </w:tcPr>
          <w:p w:rsidR="007B0730" w:rsidRPr="008A4095" w:rsidRDefault="007B0730" w:rsidP="00FE1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</w:p>
        </w:tc>
      </w:tr>
      <w:tr w:rsidR="00400CC1" w:rsidRPr="008A4095" w:rsidTr="00546E00">
        <w:tc>
          <w:tcPr>
            <w:tcW w:w="738" w:type="dxa"/>
            <w:vAlign w:val="center"/>
          </w:tcPr>
          <w:p w:rsidR="00400CC1" w:rsidRPr="008A4095" w:rsidRDefault="008A4095" w:rsidP="00321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7</w:t>
            </w:r>
          </w:p>
        </w:tc>
        <w:tc>
          <w:tcPr>
            <w:tcW w:w="4050" w:type="dxa"/>
            <w:vAlign w:val="center"/>
          </w:tcPr>
          <w:p w:rsidR="00400CC1" w:rsidRPr="008A4095" w:rsidRDefault="007F22A9" w:rsidP="00920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Hoàn thiện hồ sơ phê duyệt </w:t>
            </w:r>
            <w:r w:rsidR="00BB7972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Đề cương và dự toán</w:t>
            </w:r>
            <w:r w:rsidR="0042115F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 theo Báo cáo thẩm định (nếu Báo cáo thẩm định </w:t>
            </w:r>
            <w:r w:rsidR="0042115F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lastRenderedPageBreak/>
              <w:t>yêu cầu)</w:t>
            </w:r>
          </w:p>
        </w:tc>
        <w:tc>
          <w:tcPr>
            <w:tcW w:w="4770" w:type="dxa"/>
            <w:vAlign w:val="center"/>
          </w:tcPr>
          <w:p w:rsidR="00400CC1" w:rsidRPr="008A4095" w:rsidRDefault="0042115F" w:rsidP="008A4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lastRenderedPageBreak/>
              <w:t xml:space="preserve">Tờ trình, </w:t>
            </w:r>
            <w:r w:rsidR="007F22A9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Quyết định phê duyệt </w:t>
            </w:r>
            <w:r w:rsidR="00BB7972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Đề cương và dự toán</w:t>
            </w: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 kèm</w:t>
            </w:r>
            <w:r w:rsidR="00EE3C6D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 theo hồ sơ</w:t>
            </w: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 dự án (</w:t>
            </w:r>
            <w:r w:rsidRPr="008A4095">
              <w:rPr>
                <w:rFonts w:ascii="Times New Roman" w:hAnsi="Times New Roman" w:cs="Times New Roman"/>
                <w:i/>
                <w:sz w:val="27"/>
                <w:szCs w:val="27"/>
                <w:lang w:val="nl-NL"/>
              </w:rPr>
              <w:t>Chủ đầu tư</w:t>
            </w:r>
            <w:r w:rsidR="008A4095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 phê duyệt </w:t>
            </w:r>
            <w:r w:rsidR="008A4095" w:rsidRPr="008A4095">
              <w:rPr>
                <w:rFonts w:ascii="Times New Roman" w:hAnsi="Times New Roman" w:cs="Times New Roman"/>
                <w:i/>
                <w:sz w:val="27"/>
                <w:szCs w:val="27"/>
                <w:lang w:val="nl-NL"/>
              </w:rPr>
              <w:t xml:space="preserve">theo quy định tại Nghị </w:t>
            </w:r>
            <w:r w:rsidR="008A4095" w:rsidRPr="008A4095">
              <w:rPr>
                <w:rFonts w:ascii="Times New Roman" w:hAnsi="Times New Roman" w:cs="Times New Roman"/>
                <w:i/>
                <w:sz w:val="27"/>
                <w:szCs w:val="27"/>
                <w:lang w:val="nl-NL"/>
              </w:rPr>
              <w:lastRenderedPageBreak/>
              <w:t>quyết số 87/2018/NQ-HĐND</w:t>
            </w:r>
            <w:r w:rsidR="008A4095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)</w:t>
            </w:r>
          </w:p>
        </w:tc>
        <w:tc>
          <w:tcPr>
            <w:tcW w:w="1080" w:type="dxa"/>
            <w:vAlign w:val="center"/>
          </w:tcPr>
          <w:p w:rsidR="00400CC1" w:rsidRPr="008A4095" w:rsidRDefault="00400CC1" w:rsidP="00FE1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</w:p>
        </w:tc>
      </w:tr>
      <w:tr w:rsidR="00F40F52" w:rsidRPr="008A4095" w:rsidTr="00546E00">
        <w:trPr>
          <w:trHeight w:val="764"/>
        </w:trPr>
        <w:tc>
          <w:tcPr>
            <w:tcW w:w="738" w:type="dxa"/>
            <w:vAlign w:val="center"/>
          </w:tcPr>
          <w:p w:rsidR="00F40F52" w:rsidRPr="008A4095" w:rsidRDefault="008A4095" w:rsidP="00321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lastRenderedPageBreak/>
              <w:t>8</w:t>
            </w:r>
          </w:p>
        </w:tc>
        <w:tc>
          <w:tcPr>
            <w:tcW w:w="4050" w:type="dxa"/>
            <w:vAlign w:val="center"/>
          </w:tcPr>
          <w:p w:rsidR="00F40F52" w:rsidRPr="008A4095" w:rsidRDefault="00BB7972" w:rsidP="00920A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N</w:t>
            </w:r>
            <w:r w:rsidR="00F40F52"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 xml:space="preserve">ghiệm thu </w:t>
            </w:r>
            <w:r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tư vấn lập đề cương và dự toán</w:t>
            </w:r>
          </w:p>
        </w:tc>
        <w:tc>
          <w:tcPr>
            <w:tcW w:w="4770" w:type="dxa"/>
            <w:vAlign w:val="center"/>
          </w:tcPr>
          <w:p w:rsidR="00F40F52" w:rsidRPr="008A4095" w:rsidRDefault="00BB7972" w:rsidP="00920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Hồ sơ nghiệm thu, thanh toán chi phí tư vấn</w:t>
            </w:r>
          </w:p>
        </w:tc>
        <w:tc>
          <w:tcPr>
            <w:tcW w:w="1080" w:type="dxa"/>
            <w:vAlign w:val="center"/>
          </w:tcPr>
          <w:p w:rsidR="00F40F52" w:rsidRPr="008A4095" w:rsidRDefault="00F40F52" w:rsidP="008C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</w:p>
        </w:tc>
      </w:tr>
      <w:tr w:rsidR="007F22A9" w:rsidRPr="008A4095" w:rsidTr="00546E00">
        <w:trPr>
          <w:trHeight w:val="800"/>
        </w:trPr>
        <w:tc>
          <w:tcPr>
            <w:tcW w:w="738" w:type="dxa"/>
            <w:vAlign w:val="center"/>
          </w:tcPr>
          <w:p w:rsidR="007F22A9" w:rsidRPr="008A4095" w:rsidRDefault="008A4095" w:rsidP="00321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9</w:t>
            </w:r>
          </w:p>
        </w:tc>
        <w:tc>
          <w:tcPr>
            <w:tcW w:w="4050" w:type="dxa"/>
            <w:vAlign w:val="center"/>
          </w:tcPr>
          <w:p w:rsidR="007F22A9" w:rsidRPr="008A4095" w:rsidRDefault="003F664B" w:rsidP="00920A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Lập</w:t>
            </w:r>
            <w:r w:rsidR="00BB7972"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 xml:space="preserve">, thẩm định, </w:t>
            </w:r>
            <w:r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phê duyệt kế hoạch lựa chọn nhà thầu</w:t>
            </w:r>
            <w:r w:rsidR="00590DEA"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 xml:space="preserve"> </w:t>
            </w:r>
          </w:p>
        </w:tc>
        <w:tc>
          <w:tcPr>
            <w:tcW w:w="4770" w:type="dxa"/>
            <w:vAlign w:val="center"/>
          </w:tcPr>
          <w:p w:rsidR="00C435A7" w:rsidRPr="008A4095" w:rsidRDefault="00C435A7" w:rsidP="00920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- </w:t>
            </w:r>
            <w:r w:rsidR="003216DF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Tờ trình về kế hoạch lựa chọn nhà thầu; </w:t>
            </w:r>
          </w:p>
          <w:p w:rsidR="00BB7972" w:rsidRPr="008A4095" w:rsidRDefault="00BB7972" w:rsidP="00920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- Báo cáo thẩm định Kế hoạch lựa chọn nhà thầu</w:t>
            </w:r>
            <w:r w:rsidR="00EE3C6D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;</w:t>
            </w:r>
          </w:p>
          <w:p w:rsidR="007F22A9" w:rsidRPr="008A4095" w:rsidRDefault="00C435A7" w:rsidP="00920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- </w:t>
            </w:r>
            <w:r w:rsidR="003216DF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Quyết định phê duyệt kế hoạch lựa chọn nhà thầu</w:t>
            </w: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;</w:t>
            </w:r>
          </w:p>
          <w:p w:rsidR="00C435A7" w:rsidRPr="008A4095" w:rsidRDefault="00C435A7" w:rsidP="00920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- Lập và đăng thông báo về Kế hoạch lựa chọn nhà thầu lên hệ thống mạng đấu thầu quốc gia</w:t>
            </w:r>
          </w:p>
        </w:tc>
        <w:tc>
          <w:tcPr>
            <w:tcW w:w="1080" w:type="dxa"/>
            <w:vAlign w:val="center"/>
          </w:tcPr>
          <w:p w:rsidR="007F22A9" w:rsidRPr="008A4095" w:rsidRDefault="007F22A9" w:rsidP="00FE1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</w:p>
        </w:tc>
      </w:tr>
      <w:tr w:rsidR="007F22A9" w:rsidRPr="008A4095" w:rsidTr="00546E00">
        <w:trPr>
          <w:trHeight w:val="980"/>
        </w:trPr>
        <w:tc>
          <w:tcPr>
            <w:tcW w:w="738" w:type="dxa"/>
            <w:vAlign w:val="center"/>
          </w:tcPr>
          <w:p w:rsidR="007F22A9" w:rsidRPr="008A4095" w:rsidRDefault="008A4095" w:rsidP="00321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10</w:t>
            </w:r>
          </w:p>
        </w:tc>
        <w:tc>
          <w:tcPr>
            <w:tcW w:w="4050" w:type="dxa"/>
            <w:vAlign w:val="center"/>
          </w:tcPr>
          <w:p w:rsidR="007F22A9" w:rsidRPr="008A4095" w:rsidRDefault="003216DF" w:rsidP="008A4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Lập, thẩm định, phê duyệt Hồ sơ mời thầu</w:t>
            </w:r>
            <w:r w:rsidR="008A4095"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/Hồ sơ yêu cầu</w:t>
            </w:r>
            <w:r w:rsidR="00BB780C"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 xml:space="preserve"> (</w:t>
            </w:r>
            <w:r w:rsidR="00FE1A32" w:rsidRPr="008A4095">
              <w:rPr>
                <w:rFonts w:ascii="Times New Roman" w:hAnsi="Times New Roman" w:cs="Times New Roman"/>
                <w:i/>
                <w:sz w:val="27"/>
                <w:szCs w:val="27"/>
                <w:lang w:val="nl-NL"/>
              </w:rPr>
              <w:t xml:space="preserve">Chủ đầu tư quyết định thành lập các Tổ </w:t>
            </w:r>
            <w:r w:rsidR="0042115F" w:rsidRPr="008A4095">
              <w:rPr>
                <w:rFonts w:ascii="Times New Roman" w:hAnsi="Times New Roman" w:cs="Times New Roman"/>
                <w:i/>
                <w:sz w:val="27"/>
                <w:szCs w:val="27"/>
                <w:lang w:val="nl-NL"/>
              </w:rPr>
              <w:t>liên quan đến đấu thầu</w:t>
            </w:r>
            <w:r w:rsidR="00BB780C"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)</w:t>
            </w:r>
            <w:r w:rsidR="00725E54"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 xml:space="preserve"> nếu đủ năng lực thực hiện</w:t>
            </w:r>
            <w:r w:rsidR="00BB7972"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 xml:space="preserve">, có thể mời thêm các chuyên gia ngoài </w:t>
            </w:r>
            <w:r w:rsidR="008A4095"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đơn vị trong xét thầu</w:t>
            </w:r>
            <w:r w:rsidR="00725E54"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 xml:space="preserve">; </w:t>
            </w:r>
          </w:p>
        </w:tc>
        <w:tc>
          <w:tcPr>
            <w:tcW w:w="4770" w:type="dxa"/>
            <w:vAlign w:val="center"/>
          </w:tcPr>
          <w:p w:rsidR="00C435A7" w:rsidRPr="008A4095" w:rsidRDefault="00C435A7" w:rsidP="00920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- </w:t>
            </w:r>
            <w:r w:rsidR="00BB780C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Hồ sơ mời thầu</w:t>
            </w:r>
            <w:r w:rsidR="008A4095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/Hồ sơ yêu cầu</w:t>
            </w:r>
            <w:r w:rsidR="00BB780C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; </w:t>
            </w:r>
          </w:p>
          <w:p w:rsidR="00C435A7" w:rsidRPr="008A4095" w:rsidRDefault="00C435A7" w:rsidP="00920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- </w:t>
            </w:r>
            <w:r w:rsidR="00BB780C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Báo cáo thẩm đị</w:t>
            </w:r>
            <w:r w:rsidR="008A4095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nh HSMT/HSYC</w:t>
            </w:r>
            <w:r w:rsidR="00BB780C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; </w:t>
            </w:r>
          </w:p>
          <w:p w:rsidR="00C435A7" w:rsidRPr="008A4095" w:rsidRDefault="00C435A7" w:rsidP="00920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- </w:t>
            </w:r>
            <w:r w:rsidR="00BB780C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Quyết định </w:t>
            </w: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phê duyệt HSMT</w:t>
            </w:r>
            <w:r w:rsidR="008A4095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/HSYC</w:t>
            </w:r>
          </w:p>
        </w:tc>
        <w:tc>
          <w:tcPr>
            <w:tcW w:w="1080" w:type="dxa"/>
            <w:vAlign w:val="center"/>
          </w:tcPr>
          <w:p w:rsidR="007F22A9" w:rsidRPr="008A4095" w:rsidRDefault="007F22A9" w:rsidP="00FE1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</w:p>
        </w:tc>
      </w:tr>
      <w:tr w:rsidR="00A07772" w:rsidRPr="008A4095" w:rsidTr="00546E00">
        <w:trPr>
          <w:trHeight w:val="872"/>
        </w:trPr>
        <w:tc>
          <w:tcPr>
            <w:tcW w:w="738" w:type="dxa"/>
            <w:vAlign w:val="center"/>
          </w:tcPr>
          <w:p w:rsidR="00A07772" w:rsidRPr="008A4095" w:rsidRDefault="008A4095" w:rsidP="00321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11</w:t>
            </w:r>
          </w:p>
        </w:tc>
        <w:tc>
          <w:tcPr>
            <w:tcW w:w="4050" w:type="dxa"/>
            <w:vAlign w:val="center"/>
          </w:tcPr>
          <w:p w:rsidR="00A07772" w:rsidRPr="008A4095" w:rsidRDefault="00A07772" w:rsidP="00920A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 xml:space="preserve">Đăng thông báo </w:t>
            </w:r>
            <w:r w:rsidR="008A4095"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 xml:space="preserve">phát hành </w:t>
            </w:r>
            <w:r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HSMT</w:t>
            </w:r>
            <w:r w:rsidR="008A4095"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/HSYC</w:t>
            </w:r>
            <w:r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 xml:space="preserve"> lên mạng đấu thầu quốc gia; phát hành (bán) HSMT</w:t>
            </w:r>
            <w:r w:rsidR="008A4095"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/HSYC</w:t>
            </w:r>
            <w:r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 xml:space="preserve"> </w:t>
            </w:r>
          </w:p>
        </w:tc>
        <w:tc>
          <w:tcPr>
            <w:tcW w:w="4770" w:type="dxa"/>
            <w:vAlign w:val="center"/>
          </w:tcPr>
          <w:p w:rsidR="00A07772" w:rsidRPr="008A4095" w:rsidRDefault="00A07772" w:rsidP="00920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- Thông báo mời thầu;</w:t>
            </w:r>
          </w:p>
          <w:p w:rsidR="00A07772" w:rsidRPr="008A4095" w:rsidRDefault="00A07772" w:rsidP="00920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- HSMT</w:t>
            </w:r>
            <w:r w:rsidR="008A4095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/HSYC</w:t>
            </w: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 hoàn thiện để phát hành</w:t>
            </w:r>
          </w:p>
        </w:tc>
        <w:tc>
          <w:tcPr>
            <w:tcW w:w="1080" w:type="dxa"/>
            <w:vAlign w:val="center"/>
          </w:tcPr>
          <w:p w:rsidR="00A07772" w:rsidRPr="008A4095" w:rsidRDefault="00A07772" w:rsidP="00FE1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</w:p>
        </w:tc>
      </w:tr>
      <w:tr w:rsidR="00A07772" w:rsidRPr="008A4095" w:rsidTr="00546E00">
        <w:trPr>
          <w:trHeight w:val="620"/>
        </w:trPr>
        <w:tc>
          <w:tcPr>
            <w:tcW w:w="738" w:type="dxa"/>
            <w:vAlign w:val="center"/>
          </w:tcPr>
          <w:p w:rsidR="00A07772" w:rsidRPr="008A4095" w:rsidRDefault="0042115F" w:rsidP="008A40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1</w:t>
            </w:r>
            <w:r w:rsidR="008A4095"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2</w:t>
            </w:r>
          </w:p>
        </w:tc>
        <w:tc>
          <w:tcPr>
            <w:tcW w:w="4050" w:type="dxa"/>
            <w:vAlign w:val="center"/>
          </w:tcPr>
          <w:p w:rsidR="00A07772" w:rsidRPr="008A4095" w:rsidRDefault="00A07772" w:rsidP="00421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 xml:space="preserve">Tổ chức lựa chọn nhà thầu </w:t>
            </w:r>
            <w:r w:rsidR="00BB7972"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(</w:t>
            </w:r>
            <w:r w:rsidR="0042115F"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C</w:t>
            </w:r>
            <w:r w:rsidR="00BB7972"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ác Tổ đấu thầu, tổ chức xét thầu, ...)</w:t>
            </w:r>
          </w:p>
        </w:tc>
        <w:tc>
          <w:tcPr>
            <w:tcW w:w="4770" w:type="dxa"/>
            <w:vAlign w:val="center"/>
          </w:tcPr>
          <w:p w:rsidR="00FC2C43" w:rsidRPr="008A4095" w:rsidRDefault="00FC2C43" w:rsidP="00920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- Quyết định thành lập các Tổ </w:t>
            </w:r>
            <w:r w:rsidR="0042115F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liên quan đến đấu thầu</w:t>
            </w: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;</w:t>
            </w:r>
          </w:p>
          <w:p w:rsidR="00FC2C43" w:rsidRPr="008A4095" w:rsidRDefault="00FC2C43" w:rsidP="00920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- Báo cáo đánh giá Hồ sơ dự thầu của Tổ đánh giá;</w:t>
            </w:r>
          </w:p>
          <w:p w:rsidR="00A07772" w:rsidRPr="008A4095" w:rsidRDefault="00FC2C43" w:rsidP="00920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- Báo cáo thẩm định kết quả lựa chọn nhà thầu của Tổ thẩm định;</w:t>
            </w:r>
          </w:p>
          <w:p w:rsidR="00FC2C43" w:rsidRPr="008A4095" w:rsidRDefault="00FC2C43" w:rsidP="00920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- Quyết định phê duyệt kết quả lựa chọn nhà thầu của Chủ đầu tư</w:t>
            </w:r>
          </w:p>
        </w:tc>
        <w:tc>
          <w:tcPr>
            <w:tcW w:w="1080" w:type="dxa"/>
            <w:vAlign w:val="center"/>
          </w:tcPr>
          <w:p w:rsidR="00A07772" w:rsidRPr="008A4095" w:rsidRDefault="00A07772" w:rsidP="00FE1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</w:p>
        </w:tc>
      </w:tr>
      <w:tr w:rsidR="00A07772" w:rsidRPr="008A4095" w:rsidTr="00546E00">
        <w:trPr>
          <w:trHeight w:val="800"/>
        </w:trPr>
        <w:tc>
          <w:tcPr>
            <w:tcW w:w="738" w:type="dxa"/>
            <w:vAlign w:val="center"/>
          </w:tcPr>
          <w:p w:rsidR="00A07772" w:rsidRPr="008A4095" w:rsidRDefault="0042115F" w:rsidP="008A40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1</w:t>
            </w:r>
            <w:r w:rsidR="008A4095"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3</w:t>
            </w:r>
          </w:p>
        </w:tc>
        <w:tc>
          <w:tcPr>
            <w:tcW w:w="4050" w:type="dxa"/>
            <w:vAlign w:val="center"/>
          </w:tcPr>
          <w:p w:rsidR="00A07772" w:rsidRPr="008A4095" w:rsidRDefault="00FC2C43" w:rsidP="00920A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Chấp thuận và trao hợp đồng với nhà thầu trúng thầu</w:t>
            </w:r>
          </w:p>
        </w:tc>
        <w:tc>
          <w:tcPr>
            <w:tcW w:w="4770" w:type="dxa"/>
            <w:vAlign w:val="center"/>
          </w:tcPr>
          <w:p w:rsidR="00A07772" w:rsidRPr="008A4095" w:rsidRDefault="00FC2C43" w:rsidP="00920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Hồ sơ hợp đồng </w:t>
            </w:r>
            <w:r w:rsidR="00590DEA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giữa Chủ đầu tư </w:t>
            </w: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với nhà thầu trúng thầu</w:t>
            </w:r>
          </w:p>
        </w:tc>
        <w:tc>
          <w:tcPr>
            <w:tcW w:w="1080" w:type="dxa"/>
            <w:vAlign w:val="center"/>
          </w:tcPr>
          <w:p w:rsidR="00A07772" w:rsidRPr="008A4095" w:rsidRDefault="00A07772" w:rsidP="00FE1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</w:p>
        </w:tc>
      </w:tr>
      <w:tr w:rsidR="00FC2C43" w:rsidRPr="008A4095" w:rsidTr="00546E00">
        <w:trPr>
          <w:trHeight w:val="1511"/>
        </w:trPr>
        <w:tc>
          <w:tcPr>
            <w:tcW w:w="738" w:type="dxa"/>
            <w:vAlign w:val="center"/>
          </w:tcPr>
          <w:p w:rsidR="00FC2C43" w:rsidRPr="008A4095" w:rsidRDefault="0042115F" w:rsidP="008A40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1</w:t>
            </w:r>
            <w:r w:rsidR="008A4095"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4</w:t>
            </w:r>
          </w:p>
        </w:tc>
        <w:tc>
          <w:tcPr>
            <w:tcW w:w="4050" w:type="dxa"/>
            <w:vAlign w:val="center"/>
          </w:tcPr>
          <w:p w:rsidR="00FC2C43" w:rsidRPr="008A4095" w:rsidRDefault="00590DEA" w:rsidP="00920A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Lựa chọn, thương thảo và chỉ định thầu đơn vị tư vấn giám sát đối với việc triển khai gói thầu cung cấp phần mềm của nhà thầ</w:t>
            </w:r>
            <w:r w:rsidR="007777EB"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u trúng</w:t>
            </w:r>
            <w:r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 xml:space="preserve"> thầu</w:t>
            </w:r>
          </w:p>
        </w:tc>
        <w:tc>
          <w:tcPr>
            <w:tcW w:w="4770" w:type="dxa"/>
            <w:vAlign w:val="center"/>
          </w:tcPr>
          <w:p w:rsidR="00FC2C43" w:rsidRPr="008A4095" w:rsidRDefault="00590DEA" w:rsidP="00920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Hồ sơ hợp đồng giám sát</w:t>
            </w:r>
            <w:r w:rsidR="00F83086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 (theo quy trình chỉ định thầu rút gọn)</w:t>
            </w:r>
          </w:p>
        </w:tc>
        <w:tc>
          <w:tcPr>
            <w:tcW w:w="1080" w:type="dxa"/>
            <w:vAlign w:val="center"/>
          </w:tcPr>
          <w:p w:rsidR="00FC2C43" w:rsidRPr="008A4095" w:rsidRDefault="00FC2C43" w:rsidP="00FE1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</w:p>
        </w:tc>
      </w:tr>
      <w:tr w:rsidR="00590DEA" w:rsidRPr="008A4095" w:rsidTr="00546E00">
        <w:trPr>
          <w:trHeight w:val="1511"/>
        </w:trPr>
        <w:tc>
          <w:tcPr>
            <w:tcW w:w="738" w:type="dxa"/>
            <w:vAlign w:val="center"/>
          </w:tcPr>
          <w:p w:rsidR="00590DEA" w:rsidRPr="008A4095" w:rsidRDefault="0042115F" w:rsidP="008A40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1</w:t>
            </w:r>
            <w:r w:rsidR="008A4095"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5</w:t>
            </w:r>
          </w:p>
        </w:tc>
        <w:tc>
          <w:tcPr>
            <w:tcW w:w="4050" w:type="dxa"/>
            <w:vAlign w:val="center"/>
          </w:tcPr>
          <w:p w:rsidR="00590DEA" w:rsidRPr="008A4095" w:rsidRDefault="00590DEA" w:rsidP="00920A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Thành lập Tổ giám sát thuộc Chủ đầu tư để giám sát nhà thầ</w:t>
            </w:r>
            <w:r w:rsidR="008A4095"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u trúng</w:t>
            </w:r>
            <w:r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 xml:space="preserve"> thầu và cả đơn vị tư vấn giám sát</w:t>
            </w:r>
          </w:p>
        </w:tc>
        <w:tc>
          <w:tcPr>
            <w:tcW w:w="4770" w:type="dxa"/>
            <w:vAlign w:val="center"/>
          </w:tcPr>
          <w:p w:rsidR="00590DEA" w:rsidRPr="008A4095" w:rsidRDefault="00590DEA" w:rsidP="00920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Quyết định thành lập Tổ giám sát của Chủ đầu tư (trong số các thành viên </w:t>
            </w:r>
            <w:r w:rsidR="00BB7972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Tổ giúp việc</w:t>
            </w: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)</w:t>
            </w:r>
          </w:p>
        </w:tc>
        <w:tc>
          <w:tcPr>
            <w:tcW w:w="1080" w:type="dxa"/>
            <w:vAlign w:val="center"/>
          </w:tcPr>
          <w:p w:rsidR="00590DEA" w:rsidRPr="008A4095" w:rsidRDefault="00590DEA" w:rsidP="008C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</w:p>
        </w:tc>
      </w:tr>
      <w:tr w:rsidR="00E70655" w:rsidRPr="008A4095" w:rsidTr="00546E00">
        <w:trPr>
          <w:trHeight w:val="1511"/>
        </w:trPr>
        <w:tc>
          <w:tcPr>
            <w:tcW w:w="738" w:type="dxa"/>
            <w:vAlign w:val="center"/>
          </w:tcPr>
          <w:p w:rsidR="00E70655" w:rsidRPr="008A4095" w:rsidRDefault="0042115F" w:rsidP="008A40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lastRenderedPageBreak/>
              <w:t>1</w:t>
            </w:r>
            <w:r w:rsidR="008A4095"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6</w:t>
            </w:r>
          </w:p>
        </w:tc>
        <w:tc>
          <w:tcPr>
            <w:tcW w:w="4050" w:type="dxa"/>
            <w:vAlign w:val="center"/>
          </w:tcPr>
          <w:p w:rsidR="00E70655" w:rsidRPr="008A4095" w:rsidRDefault="00E70655" w:rsidP="00920A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Nhà thầu triển khai</w:t>
            </w:r>
            <w:r w:rsidR="00FE1A32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 </w:t>
            </w:r>
            <w:r w:rsidR="00BB7972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các </w:t>
            </w:r>
            <w:r w:rsidR="00FE1A32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gói thầu</w:t>
            </w:r>
            <w:r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; Chủ đầu tư kiểm tra, đôn đốc và giám sát việc triển khai</w:t>
            </w:r>
          </w:p>
        </w:tc>
        <w:tc>
          <w:tcPr>
            <w:tcW w:w="4770" w:type="dxa"/>
            <w:vAlign w:val="center"/>
          </w:tcPr>
          <w:p w:rsidR="00E70655" w:rsidRPr="008A4095" w:rsidRDefault="00E70655" w:rsidP="00920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Hồ sơ triển khai (các kế hoạch, </w:t>
            </w:r>
            <w:r w:rsidR="00E7495D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c</w:t>
            </w: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ông văn gửi các đơn vị có điểm triển khai, </w:t>
            </w:r>
            <w:r w:rsidR="008C2161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biên bản nghiệm thu tại các điểm triển khai,</w:t>
            </w: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...)</w:t>
            </w:r>
          </w:p>
        </w:tc>
        <w:tc>
          <w:tcPr>
            <w:tcW w:w="1080" w:type="dxa"/>
            <w:vAlign w:val="center"/>
          </w:tcPr>
          <w:p w:rsidR="00E70655" w:rsidRPr="008A4095" w:rsidRDefault="00E70655" w:rsidP="00E74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</w:p>
        </w:tc>
      </w:tr>
      <w:tr w:rsidR="00590DEA" w:rsidRPr="008A4095" w:rsidTr="00546E00">
        <w:trPr>
          <w:trHeight w:val="917"/>
        </w:trPr>
        <w:tc>
          <w:tcPr>
            <w:tcW w:w="738" w:type="dxa"/>
            <w:vAlign w:val="center"/>
          </w:tcPr>
          <w:p w:rsidR="00590DEA" w:rsidRPr="008A4095" w:rsidRDefault="0042115F" w:rsidP="008A40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1</w:t>
            </w:r>
            <w:r w:rsidR="008A4095"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7</w:t>
            </w:r>
          </w:p>
        </w:tc>
        <w:tc>
          <w:tcPr>
            <w:tcW w:w="4050" w:type="dxa"/>
            <w:vAlign w:val="center"/>
          </w:tcPr>
          <w:p w:rsidR="00590DEA" w:rsidRPr="008A4095" w:rsidRDefault="00590DEA" w:rsidP="00920A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Nghiệm thu, thanh lý hợp đồng và thanh toán các gói thầu</w:t>
            </w:r>
            <w:r w:rsidR="00725E54"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 xml:space="preserve"> (cả gói thầu tư vấn giám sát)</w:t>
            </w:r>
          </w:p>
        </w:tc>
        <w:tc>
          <w:tcPr>
            <w:tcW w:w="4770" w:type="dxa"/>
            <w:vAlign w:val="center"/>
          </w:tcPr>
          <w:p w:rsidR="00590DEA" w:rsidRPr="008A4095" w:rsidRDefault="00590DEA" w:rsidP="00920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Hồ sơ nghiệm thu các gói thầu</w:t>
            </w:r>
            <w:r w:rsidR="008C2161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; hồ sơ thanh toán</w:t>
            </w:r>
          </w:p>
        </w:tc>
        <w:tc>
          <w:tcPr>
            <w:tcW w:w="1080" w:type="dxa"/>
            <w:vAlign w:val="center"/>
          </w:tcPr>
          <w:p w:rsidR="00590DEA" w:rsidRPr="008A4095" w:rsidRDefault="00590DEA" w:rsidP="00FE1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</w:p>
        </w:tc>
      </w:tr>
      <w:tr w:rsidR="00725E54" w:rsidRPr="008A4095" w:rsidTr="00546E00">
        <w:trPr>
          <w:trHeight w:val="1151"/>
        </w:trPr>
        <w:tc>
          <w:tcPr>
            <w:tcW w:w="738" w:type="dxa"/>
            <w:vAlign w:val="center"/>
          </w:tcPr>
          <w:p w:rsidR="00725E54" w:rsidRPr="008A4095" w:rsidRDefault="0042115F" w:rsidP="008A40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1</w:t>
            </w:r>
            <w:r w:rsidR="008A4095"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8</w:t>
            </w:r>
          </w:p>
        </w:tc>
        <w:tc>
          <w:tcPr>
            <w:tcW w:w="4050" w:type="dxa"/>
            <w:vAlign w:val="center"/>
          </w:tcPr>
          <w:p w:rsidR="00725E54" w:rsidRPr="008A4095" w:rsidRDefault="00725E54" w:rsidP="00FE1A3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Thanh toán các khoản chi phí quản lý dự án (theo tiến độ hoặc khi thực hiện xong)</w:t>
            </w:r>
          </w:p>
        </w:tc>
        <w:tc>
          <w:tcPr>
            <w:tcW w:w="4770" w:type="dxa"/>
            <w:vAlign w:val="center"/>
          </w:tcPr>
          <w:p w:rsidR="00725E54" w:rsidRPr="008A4095" w:rsidRDefault="008A4095" w:rsidP="003216D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Hồ sơ thanh toán</w:t>
            </w:r>
          </w:p>
        </w:tc>
        <w:tc>
          <w:tcPr>
            <w:tcW w:w="1080" w:type="dxa"/>
            <w:vAlign w:val="center"/>
          </w:tcPr>
          <w:p w:rsidR="00725E54" w:rsidRPr="008A4095" w:rsidRDefault="00725E54" w:rsidP="008C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</w:p>
        </w:tc>
      </w:tr>
      <w:tr w:rsidR="00590DEA" w:rsidRPr="008A4095" w:rsidTr="00546E00">
        <w:trPr>
          <w:trHeight w:val="1151"/>
        </w:trPr>
        <w:tc>
          <w:tcPr>
            <w:tcW w:w="738" w:type="dxa"/>
            <w:vAlign w:val="center"/>
          </w:tcPr>
          <w:p w:rsidR="00590DEA" w:rsidRPr="008A4095" w:rsidRDefault="0042115F" w:rsidP="008A40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1</w:t>
            </w:r>
            <w:r w:rsidR="008A4095"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9</w:t>
            </w:r>
          </w:p>
        </w:tc>
        <w:tc>
          <w:tcPr>
            <w:tcW w:w="4050" w:type="dxa"/>
            <w:vAlign w:val="center"/>
          </w:tcPr>
          <w:p w:rsidR="00590DEA" w:rsidRPr="008A4095" w:rsidRDefault="00FE1A32" w:rsidP="00BB797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Thư ký dự án l</w:t>
            </w:r>
            <w:r w:rsidR="00590DEA"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 xml:space="preserve">ưu trữ hồ sơ phục vụ </w:t>
            </w:r>
            <w:r w:rsidR="00E70655"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 xml:space="preserve">lưu, </w:t>
            </w:r>
            <w:r w:rsidR="00590DEA" w:rsidRPr="008A409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quyết toán, thanh kiểm tra, kiểm toán (nếu có)</w:t>
            </w:r>
          </w:p>
        </w:tc>
        <w:tc>
          <w:tcPr>
            <w:tcW w:w="4770" w:type="dxa"/>
            <w:vAlign w:val="center"/>
          </w:tcPr>
          <w:p w:rsidR="00590DEA" w:rsidRPr="008A4095" w:rsidRDefault="00590DEA" w:rsidP="003216D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Hồ sơ toàn bộ dự án</w:t>
            </w:r>
            <w:r w:rsidR="00AC22C8" w:rsidRPr="008A409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; lưu trữ theo hồ sơ công việc; hồ sơ gói thầu</w:t>
            </w:r>
          </w:p>
        </w:tc>
        <w:tc>
          <w:tcPr>
            <w:tcW w:w="1080" w:type="dxa"/>
            <w:vAlign w:val="center"/>
          </w:tcPr>
          <w:p w:rsidR="00590DEA" w:rsidRPr="008A4095" w:rsidRDefault="00590DEA" w:rsidP="008C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</w:p>
        </w:tc>
      </w:tr>
    </w:tbl>
    <w:p w:rsidR="00F40F52" w:rsidRPr="008A4095" w:rsidRDefault="00F40F52" w:rsidP="003F664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216DF" w:rsidRPr="008A4095" w:rsidRDefault="00321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216DF" w:rsidRPr="008A4095" w:rsidSect="00546E00">
      <w:footerReference w:type="default" r:id="rId7"/>
      <w:pgSz w:w="12240" w:h="15840"/>
      <w:pgMar w:top="864" w:right="864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A57" w:rsidRDefault="00281A57" w:rsidP="008A4095">
      <w:pPr>
        <w:spacing w:after="0" w:line="240" w:lineRule="auto"/>
      </w:pPr>
      <w:r>
        <w:separator/>
      </w:r>
    </w:p>
  </w:endnote>
  <w:endnote w:type="continuationSeparator" w:id="1">
    <w:p w:rsidR="00281A57" w:rsidRDefault="00281A57" w:rsidP="008A4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8979141"/>
      <w:docPartObj>
        <w:docPartGallery w:val="Page Numbers (Bottom of Page)"/>
        <w:docPartUnique/>
      </w:docPartObj>
    </w:sdtPr>
    <w:sdtContent>
      <w:p w:rsidR="008A4095" w:rsidRDefault="008A4095">
        <w:pPr>
          <w:pStyle w:val="Footer"/>
          <w:jc w:val="center"/>
        </w:pPr>
        <w:r>
          <w:t>-</w:t>
        </w:r>
        <w:fldSimple w:instr=" PAGE   \* MERGEFORMAT ">
          <w:r w:rsidR="00546E00">
            <w:rPr>
              <w:noProof/>
            </w:rPr>
            <w:t>2</w:t>
          </w:r>
        </w:fldSimple>
        <w:r>
          <w:t>-</w:t>
        </w:r>
      </w:p>
    </w:sdtContent>
  </w:sdt>
  <w:p w:rsidR="008A4095" w:rsidRDefault="008A40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A57" w:rsidRDefault="00281A57" w:rsidP="008A4095">
      <w:pPr>
        <w:spacing w:after="0" w:line="240" w:lineRule="auto"/>
      </w:pPr>
      <w:r>
        <w:separator/>
      </w:r>
    </w:p>
  </w:footnote>
  <w:footnote w:type="continuationSeparator" w:id="1">
    <w:p w:rsidR="00281A57" w:rsidRDefault="00281A57" w:rsidP="008A4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F52"/>
    <w:rsid w:val="00047A5D"/>
    <w:rsid w:val="00094B87"/>
    <w:rsid w:val="000D4FA0"/>
    <w:rsid w:val="000F0883"/>
    <w:rsid w:val="001305E1"/>
    <w:rsid w:val="001E60C7"/>
    <w:rsid w:val="00281A57"/>
    <w:rsid w:val="0029064D"/>
    <w:rsid w:val="003216DF"/>
    <w:rsid w:val="00366199"/>
    <w:rsid w:val="003F664B"/>
    <w:rsid w:val="00400CC1"/>
    <w:rsid w:val="0042115F"/>
    <w:rsid w:val="004E03D2"/>
    <w:rsid w:val="004E68DA"/>
    <w:rsid w:val="00546E00"/>
    <w:rsid w:val="00590DEA"/>
    <w:rsid w:val="006053F7"/>
    <w:rsid w:val="00685F9F"/>
    <w:rsid w:val="00725E54"/>
    <w:rsid w:val="007777EB"/>
    <w:rsid w:val="007B0730"/>
    <w:rsid w:val="007B19A4"/>
    <w:rsid w:val="007F22A9"/>
    <w:rsid w:val="00883B2F"/>
    <w:rsid w:val="008A4095"/>
    <w:rsid w:val="008A77D1"/>
    <w:rsid w:val="008C2161"/>
    <w:rsid w:val="008F679F"/>
    <w:rsid w:val="00920A84"/>
    <w:rsid w:val="009E04C7"/>
    <w:rsid w:val="00A07772"/>
    <w:rsid w:val="00A704A2"/>
    <w:rsid w:val="00AC22C8"/>
    <w:rsid w:val="00BB3A3B"/>
    <w:rsid w:val="00BB780C"/>
    <w:rsid w:val="00BB7972"/>
    <w:rsid w:val="00C435A7"/>
    <w:rsid w:val="00C45637"/>
    <w:rsid w:val="00C51693"/>
    <w:rsid w:val="00C67A35"/>
    <w:rsid w:val="00E4733B"/>
    <w:rsid w:val="00E70655"/>
    <w:rsid w:val="00E7495D"/>
    <w:rsid w:val="00EE3C6D"/>
    <w:rsid w:val="00F40F52"/>
    <w:rsid w:val="00F83086"/>
    <w:rsid w:val="00FC2C43"/>
    <w:rsid w:val="00FC4E02"/>
    <w:rsid w:val="00FE1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F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8A4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4095"/>
  </w:style>
  <w:style w:type="paragraph" w:styleId="Footer">
    <w:name w:val="footer"/>
    <w:basedOn w:val="Normal"/>
    <w:link w:val="FooterChar"/>
    <w:uiPriority w:val="99"/>
    <w:unhideWhenUsed/>
    <w:rsid w:val="008A4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0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96E49-CDA0-4251-9F44-8823FB2F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AutoBVT</cp:lastModifiedBy>
  <cp:revision>3</cp:revision>
  <cp:lastPrinted>2019-03-05T09:20:00Z</cp:lastPrinted>
  <dcterms:created xsi:type="dcterms:W3CDTF">2019-07-09T15:14:00Z</dcterms:created>
  <dcterms:modified xsi:type="dcterms:W3CDTF">2019-07-18T07:09:00Z</dcterms:modified>
</cp:coreProperties>
</file>