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54" w:rsidRPr="00393265" w:rsidRDefault="00F40F52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3265">
        <w:rPr>
          <w:rFonts w:ascii="Times New Roman" w:hAnsi="Times New Roman" w:cs="Times New Roman"/>
          <w:b/>
          <w:sz w:val="27"/>
          <w:szCs w:val="27"/>
        </w:rPr>
        <w:t xml:space="preserve">QUY TRÌNH VÀ CÁC BƯỚC </w:t>
      </w:r>
    </w:p>
    <w:p w:rsidR="00094B87" w:rsidRDefault="00F40F52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3265">
        <w:rPr>
          <w:rFonts w:ascii="Times New Roman" w:hAnsi="Times New Roman" w:cs="Times New Roman"/>
          <w:b/>
          <w:sz w:val="27"/>
          <w:szCs w:val="27"/>
        </w:rPr>
        <w:t xml:space="preserve">THỰC HIỆN </w:t>
      </w:r>
      <w:r w:rsidR="007B0730" w:rsidRPr="00393265">
        <w:rPr>
          <w:rFonts w:ascii="Times New Roman" w:hAnsi="Times New Roman" w:cs="Times New Roman"/>
          <w:b/>
          <w:sz w:val="27"/>
          <w:szCs w:val="27"/>
        </w:rPr>
        <w:t xml:space="preserve">DỰ ÁN </w:t>
      </w:r>
      <w:r w:rsidR="00E70655" w:rsidRPr="00393265">
        <w:rPr>
          <w:rFonts w:ascii="Times New Roman" w:hAnsi="Times New Roman" w:cs="Times New Roman"/>
          <w:b/>
          <w:sz w:val="27"/>
          <w:szCs w:val="27"/>
        </w:rPr>
        <w:t>CNTT</w:t>
      </w:r>
      <w:r w:rsidR="00725E54" w:rsidRPr="0039326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455B">
        <w:rPr>
          <w:rFonts w:ascii="Times New Roman" w:hAnsi="Times New Roman" w:cs="Times New Roman"/>
          <w:b/>
          <w:sz w:val="27"/>
          <w:szCs w:val="27"/>
        </w:rPr>
        <w:t>THEO HÌNH THỨC LẬP DỰ ÁN</w:t>
      </w:r>
    </w:p>
    <w:p w:rsidR="0026455B" w:rsidRDefault="0026455B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(BÁO CÁO ĐẦU TƯ HOẶC BÁO CÁO NGHIÊN CỨU KHẢ THI)</w:t>
      </w:r>
    </w:p>
    <w:p w:rsidR="001D6534" w:rsidRDefault="001D6534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Áp dụng đối với nguồn vốn đầu tư công </w:t>
      </w:r>
    </w:p>
    <w:p w:rsidR="001D6534" w:rsidRPr="00393265" w:rsidRDefault="001D6534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hoặc vốn sự nghiệp có mức vốn từ 03 tỷ đồng trở lên</w:t>
      </w:r>
    </w:p>
    <w:p w:rsidR="007B4AF7" w:rsidRPr="00393265" w:rsidRDefault="007B4AF7" w:rsidP="003F66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615"/>
        <w:gridCol w:w="4536"/>
      </w:tblGrid>
      <w:tr w:rsidR="00C107B3" w:rsidRPr="00393265" w:rsidTr="00C107B3">
        <w:trPr>
          <w:trHeight w:val="683"/>
        </w:trPr>
        <w:tc>
          <w:tcPr>
            <w:tcW w:w="738" w:type="dxa"/>
            <w:vAlign w:val="center"/>
          </w:tcPr>
          <w:p w:rsidR="00C107B3" w:rsidRPr="00393265" w:rsidRDefault="00C107B3" w:rsidP="003F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  <w:t>S</w:t>
            </w:r>
            <w:r w:rsidRPr="0039326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ố TT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3F66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b/>
                <w:sz w:val="27"/>
                <w:szCs w:val="27"/>
                <w:lang w:val="nl-NL"/>
              </w:rPr>
              <w:t>Nội dung công việc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3F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Sản phẩm</w:t>
            </w:r>
          </w:p>
        </w:tc>
      </w:tr>
      <w:tr w:rsidR="007B4AF7" w:rsidRPr="00393265" w:rsidTr="00C107B3">
        <w:tc>
          <w:tcPr>
            <w:tcW w:w="738" w:type="dxa"/>
            <w:vAlign w:val="center"/>
          </w:tcPr>
          <w:p w:rsidR="007B4AF7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</w:t>
            </w:r>
          </w:p>
        </w:tc>
        <w:tc>
          <w:tcPr>
            <w:tcW w:w="4615" w:type="dxa"/>
            <w:vAlign w:val="center"/>
          </w:tcPr>
          <w:p w:rsidR="007B4AF7" w:rsidRPr="00393265" w:rsidRDefault="007B4AF7" w:rsidP="007B4AF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Lập Kế hoạch CNTT hàng năm, trong đó có các dự án ứng dụng CNTT</w:t>
            </w:r>
            <w:r w:rsidR="00393265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</w:t>
            </w:r>
            <w:r w:rsidR="00393265" w:rsidRPr="00393265">
              <w:rPr>
                <w:rFonts w:ascii="Times New Roman" w:hAnsi="Times New Roman"/>
                <w:bCs/>
                <w:sz w:val="27"/>
                <w:szCs w:val="27"/>
                <w:lang w:val="nl-NL"/>
              </w:rPr>
              <w:t xml:space="preserve">(Khoản 2 – Điều 5 - Nghị định </w:t>
            </w:r>
            <w:r w:rsidR="00393265" w:rsidRPr="00393265">
              <w:rPr>
                <w:rFonts w:ascii="Times New Roman" w:hAnsi="Times New Roman" w:cs="Times New Roman"/>
                <w:bCs/>
                <w:sz w:val="27"/>
                <w:szCs w:val="27"/>
                <w:lang w:val="nl-NL"/>
              </w:rPr>
              <w:t>102/2009/NĐ-CP</w:t>
            </w:r>
            <w:r w:rsidR="00393265" w:rsidRPr="00393265">
              <w:rPr>
                <w:rFonts w:ascii="Times New Roman" w:hAnsi="Times New Roman"/>
                <w:bCs/>
                <w:sz w:val="27"/>
                <w:szCs w:val="27"/>
                <w:lang w:val="nl-NL"/>
              </w:rPr>
              <w:t>)</w:t>
            </w:r>
          </w:p>
          <w:p w:rsidR="007B4AF7" w:rsidRPr="00393265" w:rsidRDefault="007B4AF7" w:rsidP="007B4AF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Nếu dự án sử dụng vốn đầu tư công thì phải lập </w:t>
            </w:r>
            <w:r w:rsidRPr="0026455B">
              <w:rPr>
                <w:rFonts w:ascii="Times New Roman" w:hAnsi="Times New Roman" w:cs="Times New Roman"/>
                <w:b/>
                <w:i/>
                <w:sz w:val="27"/>
                <w:szCs w:val="27"/>
                <w:lang w:val="nl-NL"/>
              </w:rPr>
              <w:t xml:space="preserve">Báo cáo đề xuất chủ trương đầu tư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và hồ sơ trình phê duyệt theo quy định của Luật Đầu tư công</w:t>
            </w:r>
            <w:r w:rsidR="009D7C2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</w:t>
            </w:r>
            <w:r w:rsidR="009D7C27" w:rsidRPr="00260FE3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Mục 1 – Chương II</w:t>
            </w:r>
            <w:r w:rsidR="009D7C2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</w:t>
            </w:r>
          </w:p>
        </w:tc>
        <w:tc>
          <w:tcPr>
            <w:tcW w:w="4536" w:type="dxa"/>
            <w:vAlign w:val="center"/>
          </w:tcPr>
          <w:p w:rsidR="007B4AF7" w:rsidRPr="00393265" w:rsidRDefault="007B4AF7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Kế hoạch được phê duyệt (của tỉnh</w:t>
            </w:r>
            <w:r w:rsidR="001D65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của địa phương);</w:t>
            </w:r>
          </w:p>
          <w:p w:rsidR="007B4AF7" w:rsidRPr="00393265" w:rsidRDefault="007B4AF7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đề xuất chủ trương đầu tư; văn bản phê duyệt chủ trương đầu tư</w:t>
            </w:r>
            <w:r w:rsidR="001D65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(Quyết định/Công văn)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FE1A3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Thành lập Ban quản lý dự án; Chủ đầu tư tổ chức họp thông qua các bước triển khai; phân công nhiệm vụ cho các thành viên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Quyết định thành lập BQLDA của Chủ đầu tư; 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Chủ đầu tư tổ chức buổi họp; Bảng phân công nhiệm vụ của Trưởng ban QLDA cho các thành viên</w:t>
            </w:r>
          </w:p>
        </w:tc>
      </w:tr>
      <w:tr w:rsidR="00C107B3" w:rsidRPr="00393265" w:rsidTr="00C107B3">
        <w:trPr>
          <w:trHeight w:val="2627"/>
        </w:trPr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3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7B4AF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Dự thảo, trình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Chủ đầu tư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phê duyệt đề cương, nhiệm vụ khảo sát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để làm cơ sở khảo sát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nếu dự án cần phải có số liệu để làm căn cứ lập, nếu không cần thì bỏ qua bước này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), lập Báo cáo nghiên cứu khả thi; lập và phê duyệt kế hoạch lựa chọn nhà thầu giai đoạn chuẩn bị đầu tư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Hồ sơ gồm: 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Đề cương, nhiệm vụ khảo sát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nếu tổ chức khảo sát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); khái toán chi phí tư vấn; Quyết định phê duyệt Đề cương nhiệm vụ khảo sát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nếu tổ chức khảo sát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 và chi phí tư vấn chuẩn bị đầu tư;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Kế hoạch lựa chọn nhà thầu và Quyết định phê duyệt của Chủ đầu tư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E7065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ổ chức làm việc giữa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Chủ đầu tư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với đơn vị tư vấn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đảm bảo năng lực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đã từng lập dự án CNTT theo quy định của Bộ TT&amp;TT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) để tư vấn 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khảo sát (nếu có khảo sát)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, </w:t>
            </w:r>
            <w:r w:rsidR="007B4AF7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tư vấn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lập Báo cáo nghiên cứu khả thi và dự toán của dự án</w:t>
            </w:r>
          </w:p>
        </w:tc>
        <w:tc>
          <w:tcPr>
            <w:tcW w:w="4536" w:type="dxa"/>
            <w:vAlign w:val="center"/>
          </w:tcPr>
          <w:p w:rsidR="007B4AF7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Công văn mời đơn vị tư vấn đủ năng lực kèm dự thảo hợp đồng tư vấn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đơn vị tư vấn có văn bản chấp nhận kèm hồ sơ năng lực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Hồ sơ hợp đồng tư vấn gồm: Biên bản thương thảo hợp đồng giữa 2 bên; Biên bản họp chỉ định thầu; Quyết định chỉ định thầu tư vấn của Chủ đầu tư, Hợp đồng chính thức được ký kết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5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3216D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Đơn vị tư vấn tổ chức khảo sát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nếu có khảo sát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), lập Báo cáo nghiên cứu khả thi và dự toán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kết quả khảo sát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nếu có khảo sát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nghiên cứu khả thi và dự toán của dự án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lastRenderedPageBreak/>
              <w:t>6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Lập văn bản đề nghị cơ quan chuyên môn (Sở TT&amp;TT) có ý kiến chuyên môn đối với dự án (kèm theo hồ sơ dự án)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Văn bản của Sở Thông tin và Truyền thông về ý kiến chuyên môn đối với dự án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7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7B4AF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Lập hồ sơ trình UBND </w:t>
            </w:r>
            <w:r w:rsidR="00DA418B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cấp huyện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</w:t>
            </w:r>
            <w:r w:rsidR="007B4AF7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(thông qua phòng KHTC)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bố trí nguồn vốn nếu chưa được bố trí vốn nhưng đã có trong KH ứng dụng 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DA4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Tờ trình và hồ sơ dự án; Nếu đồ</w:t>
            </w:r>
            <w:r w:rsidR="00DA418B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ng ý, UBND cấp huyện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ban hành văn bản thống nhất bố trí kinh phí và ghi rõ nguồn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8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3216D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Tổ chức thẩm định giá (nếu dự án có đầu tư thiết bị tin học</w:t>
            </w:r>
            <w:r w:rsidR="00DA418B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, phần mềm thương mại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 để trình phê duyệt Báo cáo nghiên cứu khả thi và dự toán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hợp đồng về thẩm định giá; Chứng thư thẩm định giá</w:t>
            </w:r>
          </w:p>
        </w:tc>
      </w:tr>
      <w:tr w:rsidR="00C107B3" w:rsidRPr="00393265" w:rsidTr="00C107B3"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9</w:t>
            </w:r>
          </w:p>
        </w:tc>
        <w:tc>
          <w:tcPr>
            <w:tcW w:w="4615" w:type="dxa"/>
            <w:vAlign w:val="center"/>
          </w:tcPr>
          <w:p w:rsidR="00C107B3" w:rsidRPr="00393265" w:rsidRDefault="007B4AF7" w:rsidP="00DA41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C107B3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Chủ đầu tư phê duyệt </w:t>
            </w:r>
            <w:r w:rsidR="00DA418B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dự án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theo Nghị quyết số 87/2018/NQ-HĐND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 nếu dự án sử dụng vốn sự nghiệp;</w:t>
            </w:r>
          </w:p>
          <w:p w:rsidR="007B4AF7" w:rsidRPr="00393265" w:rsidRDefault="007B4AF7" w:rsidP="00DA41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Cơ quan theo phân cấp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 xml:space="preserve">theo </w:t>
            </w:r>
            <w:r w:rsidRPr="00393265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Quyết định 38/2016/QĐ-UBND</w:t>
            </w:r>
            <w:r w:rsidRPr="00393265">
              <w:rPr>
                <w:rFonts w:ascii="Times New Roman" w:hAnsi="Times New Roman"/>
                <w:sz w:val="27"/>
                <w:szCs w:val="27"/>
                <w:lang w:val="nl-NL"/>
              </w:rPr>
              <w:t>)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nếu dự án sử dụng vốn đầu tư công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dự án; Quyết định phê duyệt Báo cáo nghiên cứu khả thi và dự toán</w:t>
            </w:r>
          </w:p>
        </w:tc>
      </w:tr>
      <w:tr w:rsidR="00C107B3" w:rsidRPr="00393265" w:rsidTr="00C107B3">
        <w:trPr>
          <w:trHeight w:val="1511"/>
        </w:trPr>
        <w:tc>
          <w:tcPr>
            <w:tcW w:w="738" w:type="dxa"/>
            <w:vAlign w:val="center"/>
          </w:tcPr>
          <w:p w:rsidR="00C107B3" w:rsidRPr="00393265" w:rsidRDefault="007B4AF7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10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3216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Tổ chức nghiệm thu kết quả khảo sát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(</w:t>
            </w:r>
            <w:r w:rsidR="00DA418B" w:rsidRPr="00393265">
              <w:rPr>
                <w:rFonts w:ascii="Times New Roman" w:eastAsia="Calibri" w:hAnsi="Times New Roman" w:cs="Times New Roman"/>
                <w:i/>
                <w:sz w:val="27"/>
                <w:szCs w:val="27"/>
                <w:lang w:val="nl-NL"/>
              </w:rPr>
              <w:t>nếu có khảo sát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)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, Báo cáo nghiên cứu khả thi 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và dự toán 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sau khi dự án được phê duyệt; nghiệm thu hồ sơ thẩm định giá</w:t>
            </w:r>
          </w:p>
        </w:tc>
        <w:tc>
          <w:tcPr>
            <w:tcW w:w="4536" w:type="dxa"/>
            <w:vAlign w:val="center"/>
          </w:tcPr>
          <w:p w:rsidR="007B4AF7" w:rsidRPr="00393265" w:rsidRDefault="007B4AF7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</w:t>
            </w:r>
            <w:r w:rsidR="00C107B3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nghiệm thu 02 gói thầu: Tư vấn khảo sát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,</w:t>
            </w:r>
            <w:r w:rsidR="00C107B3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lập dự án; Tư vấn thẩm định giá; </w:t>
            </w:r>
          </w:p>
          <w:p w:rsidR="00C107B3" w:rsidRPr="00393265" w:rsidRDefault="007B4AF7" w:rsidP="007B4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T</w:t>
            </w:r>
            <w:r w:rsidR="00C107B3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hanh toán chi phí tư vấn khi dự án được cấp vốn.</w:t>
            </w:r>
          </w:p>
        </w:tc>
      </w:tr>
      <w:tr w:rsidR="00C107B3" w:rsidRPr="00393265" w:rsidTr="00C107B3">
        <w:trPr>
          <w:trHeight w:val="800"/>
        </w:trPr>
        <w:tc>
          <w:tcPr>
            <w:tcW w:w="738" w:type="dxa"/>
            <w:vAlign w:val="center"/>
          </w:tcPr>
          <w:p w:rsidR="00C107B3" w:rsidRPr="00393265" w:rsidRDefault="00DA418B" w:rsidP="007B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7B4AF7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DA418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Lập và trình người quyết định đầu tư phê duyệt kế hoạch lựa chọn nhà thầu </w:t>
            </w:r>
            <w:r w:rsidR="007B4AF7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(Chủ thể phê duyệt dự án thì phê duyệt kế hoạch lựa chọn nhà thầu)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Tờ trình về kế hoạch lựa chọn nhà thầu; 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Quyết định phê duyệt kế hoạch lựa chọn nhà thầu;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Lập và đăng thông báo về Kế hoạch lựa chọn nhà thầu lên hệ thống mạng đấu thầu quốc gia</w:t>
            </w:r>
          </w:p>
        </w:tc>
      </w:tr>
      <w:tr w:rsidR="00C107B3" w:rsidRPr="00393265" w:rsidTr="00C107B3">
        <w:trPr>
          <w:trHeight w:val="980"/>
        </w:trPr>
        <w:tc>
          <w:tcPr>
            <w:tcW w:w="738" w:type="dxa"/>
            <w:vAlign w:val="center"/>
          </w:tcPr>
          <w:p w:rsidR="00C107B3" w:rsidRPr="00393265" w:rsidRDefault="00DA418B" w:rsidP="007B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7B4AF7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2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DA418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Lập, thẩm định, phê duyệt Hồ sơ mời thầu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/hồ sơ yêu cầu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(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Chủ đầu tư quyết định thành lập các Tổ lập HSMT</w:t>
            </w:r>
            <w:r w:rsidR="00DA418B"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/HSYC</w:t>
            </w:r>
            <w:r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; Tổ thẩm định HSMT</w:t>
            </w:r>
            <w:r w:rsidR="00DA418B" w:rsidRPr="00393265">
              <w:rPr>
                <w:rFonts w:ascii="Times New Roman" w:hAnsi="Times New Roman" w:cs="Times New Roman"/>
                <w:i/>
                <w:sz w:val="27"/>
                <w:szCs w:val="27"/>
                <w:lang w:val="nl-NL"/>
              </w:rPr>
              <w:t>/HSYC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) nếu đủ năng lực thực hiện; nếu không có năng lực thì thuê tư vấn 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- Hồ sơ mời thầu; </w:t>
            </w:r>
            <w:r w:rsidR="007B4AF7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yêu cầu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thẩm định hồ sơ mời thầu</w:t>
            </w:r>
            <w:r w:rsidR="007B4AF7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/Hồ sơ yêu cầu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; 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Quyết định phê duyệt HSMT</w:t>
            </w:r>
            <w:r w:rsidR="00DA418B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/HSYC</w:t>
            </w:r>
          </w:p>
        </w:tc>
      </w:tr>
      <w:tr w:rsidR="00C107B3" w:rsidRPr="00393265" w:rsidTr="00C107B3">
        <w:trPr>
          <w:trHeight w:val="872"/>
        </w:trPr>
        <w:tc>
          <w:tcPr>
            <w:tcW w:w="738" w:type="dxa"/>
            <w:vAlign w:val="center"/>
          </w:tcPr>
          <w:p w:rsidR="00C107B3" w:rsidRPr="00393265" w:rsidRDefault="00DA418B" w:rsidP="007B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7B4AF7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3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BB780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Đăng thông báo HSMT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/HSYC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lên mạng đấu thầu quốc gia; phát hành (bán) HSMT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/HSYC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Thông báo mời thầu;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HSMT</w:t>
            </w:r>
            <w:r w:rsidR="007B4AF7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/HSYC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hoàn thiện để phát hành</w:t>
            </w:r>
          </w:p>
        </w:tc>
      </w:tr>
      <w:tr w:rsidR="00C107B3" w:rsidRPr="00393265" w:rsidTr="00C107B3">
        <w:trPr>
          <w:trHeight w:val="620"/>
        </w:trPr>
        <w:tc>
          <w:tcPr>
            <w:tcW w:w="738" w:type="dxa"/>
            <w:vAlign w:val="center"/>
          </w:tcPr>
          <w:p w:rsidR="00C107B3" w:rsidRPr="00393265" w:rsidRDefault="00DA418B" w:rsidP="007B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7B4AF7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4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DA418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Tổ chức lựa chọn nhà thầu (</w:t>
            </w:r>
            <w:r w:rsidRPr="00393265">
              <w:rPr>
                <w:rFonts w:ascii="Times New Roman" w:eastAsia="Calibri" w:hAnsi="Times New Roman" w:cs="Times New Roman"/>
                <w:i/>
                <w:sz w:val="27"/>
                <w:szCs w:val="27"/>
                <w:lang w:val="nl-NL"/>
              </w:rPr>
              <w:t>thành lập Tổ đánh giá hồ sơ dự thầu</w:t>
            </w:r>
            <w:r w:rsidR="00DA418B" w:rsidRPr="00393265">
              <w:rPr>
                <w:rFonts w:ascii="Times New Roman" w:eastAsia="Calibri" w:hAnsi="Times New Roman" w:cs="Times New Roman"/>
                <w:i/>
                <w:sz w:val="27"/>
                <w:szCs w:val="27"/>
                <w:lang w:val="nl-NL"/>
              </w:rPr>
              <w:t>/hồ sơ đề xuất</w:t>
            </w:r>
            <w:r w:rsidRPr="00393265">
              <w:rPr>
                <w:rFonts w:ascii="Times New Roman" w:eastAsia="Calibri" w:hAnsi="Times New Roman" w:cs="Times New Roman"/>
                <w:i/>
                <w:sz w:val="27"/>
                <w:szCs w:val="27"/>
                <w:lang w:val="nl-NL"/>
              </w:rPr>
              <w:t xml:space="preserve">; Tổ thẩm định kết quả lựa chọn nhà thầu; Chủ đầu tư phê duyệt kết quả </w:t>
            </w:r>
            <w:r w:rsidRPr="00393265">
              <w:rPr>
                <w:rFonts w:ascii="Times New Roman" w:eastAsia="Calibri" w:hAnsi="Times New Roman" w:cs="Times New Roman"/>
                <w:i/>
                <w:sz w:val="27"/>
                <w:szCs w:val="27"/>
                <w:lang w:val="nl-NL"/>
              </w:rPr>
              <w:lastRenderedPageBreak/>
              <w:t>lựa chọn nhà thầu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)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lastRenderedPageBreak/>
              <w:t>- Quyết định thành lập các Tổ (cột bên);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Báo cáo đánh giá Hồ sơ dự thầu</w:t>
            </w:r>
            <w:r w:rsidR="00DA418B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/hồ sơ đề xuất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của Tổ đánh giá;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lastRenderedPageBreak/>
              <w:t>- Báo cáo thẩm định kết quả lựa chọn nhà thầu của Tổ thẩm định;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- Quyết định phê duyệt kết quả lựa chọn nhà thầu của Chủ đầu tư</w:t>
            </w:r>
          </w:p>
        </w:tc>
      </w:tr>
      <w:tr w:rsidR="00C107B3" w:rsidRPr="00393265" w:rsidTr="00C107B3">
        <w:trPr>
          <w:trHeight w:val="800"/>
        </w:trPr>
        <w:tc>
          <w:tcPr>
            <w:tcW w:w="738" w:type="dxa"/>
            <w:vAlign w:val="center"/>
          </w:tcPr>
          <w:p w:rsidR="00C107B3" w:rsidRPr="00393265" w:rsidRDefault="00DA418B" w:rsidP="0039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lastRenderedPageBreak/>
              <w:t>1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5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BB780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Chấp thuận 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HSDT/HSĐX 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và trao hợp đồng với nhà thầu trúng thầu</w:t>
            </w:r>
          </w:p>
        </w:tc>
        <w:tc>
          <w:tcPr>
            <w:tcW w:w="4536" w:type="dxa"/>
            <w:vAlign w:val="center"/>
          </w:tcPr>
          <w:p w:rsidR="00C107B3" w:rsidRPr="00393265" w:rsidRDefault="00DA418B" w:rsidP="00DA4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Thư chấp thuận Hồ sơ dự thầu/Hồ sơ đề xuất; </w:t>
            </w:r>
            <w:r w:rsidR="00C107B3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hợp đồng giữa Chủ đầu tư với nhà thầu trúng thầu</w:t>
            </w:r>
          </w:p>
        </w:tc>
      </w:tr>
      <w:tr w:rsidR="00C107B3" w:rsidRPr="00393265" w:rsidTr="00393265">
        <w:trPr>
          <w:trHeight w:val="1220"/>
        </w:trPr>
        <w:tc>
          <w:tcPr>
            <w:tcW w:w="738" w:type="dxa"/>
            <w:vAlign w:val="center"/>
          </w:tcPr>
          <w:p w:rsidR="00C107B3" w:rsidRPr="00393265" w:rsidRDefault="00DA418B" w:rsidP="0039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6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DA418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Lựa chọn, thương thảo và chỉ định thầu đơn vị tư vấn giám sát đối với việc triển khai 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các 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gói thầu 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hợp đồng giám sát (</w:t>
            </w:r>
            <w:r w:rsidR="00393265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thông thường 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theo quy trình chỉ định thầu rút gọn</w:t>
            </w:r>
            <w:r w:rsidR="00393265"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vì giá trị dưới 500 triệu đồng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)</w:t>
            </w:r>
          </w:p>
        </w:tc>
      </w:tr>
      <w:tr w:rsidR="00C107B3" w:rsidRPr="00393265" w:rsidTr="00393265">
        <w:trPr>
          <w:trHeight w:val="1256"/>
        </w:trPr>
        <w:tc>
          <w:tcPr>
            <w:tcW w:w="738" w:type="dxa"/>
            <w:vAlign w:val="center"/>
          </w:tcPr>
          <w:p w:rsidR="00C107B3" w:rsidRPr="00393265" w:rsidRDefault="00DA418B" w:rsidP="0039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7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BB780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Thành lập Tổ giám sát thuộc Chủ đầu tư để giám sát nhà thầ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u trúng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 thầu và cả đơn vị tư vấn giám sát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Quyết định thành lập Tổ giám sát của Chủ đầu tư (trong số các thành viên Ban QLDA)</w:t>
            </w:r>
          </w:p>
        </w:tc>
      </w:tr>
      <w:tr w:rsidR="00C107B3" w:rsidRPr="00393265" w:rsidTr="00C107B3">
        <w:trPr>
          <w:trHeight w:val="1511"/>
        </w:trPr>
        <w:tc>
          <w:tcPr>
            <w:tcW w:w="738" w:type="dxa"/>
            <w:vAlign w:val="center"/>
          </w:tcPr>
          <w:p w:rsidR="00C107B3" w:rsidRPr="00393265" w:rsidRDefault="00DA418B" w:rsidP="0039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8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BB780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Nhà thầu triển khai</w:t>
            </w: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 gói thầu cung cấp </w:t>
            </w:r>
            <w:r w:rsidRPr="00393265">
              <w:rPr>
                <w:rFonts w:ascii="Times New Roman" w:hAnsi="Times New Roman" w:cs="Times New Roman"/>
                <w:bCs/>
                <w:sz w:val="27"/>
                <w:szCs w:val="27"/>
              </w:rPr>
              <w:t>phần mềm hệ thống thông tin tài chính đơn vị hành chính sự nghiệp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, đơn vị tư vấn thực hiện nhiệm vụ giám sát; Chủ đầu tư kiểm tra, đôn đốc và giám sát việc triển khai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triển khai (các kế hoạch, công văn gửi các đơn vị có điểm triển khai, biên bản nghiệm thu tại các điểm triển khai,...)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C107B3" w:rsidRPr="00393265" w:rsidTr="00C107B3">
        <w:trPr>
          <w:trHeight w:val="917"/>
        </w:trPr>
        <w:tc>
          <w:tcPr>
            <w:tcW w:w="738" w:type="dxa"/>
            <w:vAlign w:val="center"/>
          </w:tcPr>
          <w:p w:rsidR="00C107B3" w:rsidRPr="00393265" w:rsidRDefault="00DA418B" w:rsidP="0039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9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BB780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Nghiệm thu, thanh lý hợp đồng và thanh toán các gói thầu (cả gói thầu tư vấn giám sát)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nghiệm thu các gói thầu; hồ sơ thanh toán</w:t>
            </w:r>
          </w:p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</w:tr>
      <w:tr w:rsidR="00C107B3" w:rsidRPr="00393265" w:rsidTr="00393265">
        <w:trPr>
          <w:trHeight w:val="781"/>
        </w:trPr>
        <w:tc>
          <w:tcPr>
            <w:tcW w:w="738" w:type="dxa"/>
            <w:vAlign w:val="center"/>
          </w:tcPr>
          <w:p w:rsidR="00C107B3" w:rsidRPr="00393265" w:rsidRDefault="00393265" w:rsidP="00321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20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DA418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 xml:space="preserve">Thanh toán các khoản chi phí quản lý dự án (theo tiến độ thực hiện </w:t>
            </w:r>
            <w:r w:rsidR="00DA418B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dự án</w:t>
            </w: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)</w:t>
            </w:r>
          </w:p>
        </w:tc>
        <w:tc>
          <w:tcPr>
            <w:tcW w:w="4536" w:type="dxa"/>
            <w:vAlign w:val="center"/>
          </w:tcPr>
          <w:p w:rsidR="00C107B3" w:rsidRPr="00393265" w:rsidRDefault="00DA418B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quản lý dự án</w:t>
            </w:r>
          </w:p>
        </w:tc>
      </w:tr>
      <w:tr w:rsidR="00C107B3" w:rsidRPr="00393265" w:rsidTr="00393265">
        <w:trPr>
          <w:trHeight w:val="979"/>
        </w:trPr>
        <w:tc>
          <w:tcPr>
            <w:tcW w:w="738" w:type="dxa"/>
            <w:vAlign w:val="center"/>
          </w:tcPr>
          <w:p w:rsidR="00C107B3" w:rsidRPr="00393265" w:rsidRDefault="00DA418B" w:rsidP="0039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2</w:t>
            </w:r>
            <w:r w:rsidR="00393265"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1</w:t>
            </w:r>
          </w:p>
        </w:tc>
        <w:tc>
          <w:tcPr>
            <w:tcW w:w="4615" w:type="dxa"/>
            <w:vAlign w:val="center"/>
          </w:tcPr>
          <w:p w:rsidR="00C107B3" w:rsidRPr="00393265" w:rsidRDefault="00C107B3" w:rsidP="00FE1A3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eastAsia="Calibri" w:hAnsi="Times New Roman" w:cs="Times New Roman"/>
                <w:sz w:val="27"/>
                <w:szCs w:val="27"/>
                <w:lang w:val="nl-NL"/>
              </w:rPr>
              <w:t>Thư ký dự án lưu trữ hồ sơ dự án phục vụ lưu, quyết toán, thanh kiểm tra, kiểm toán (nếu có)</w:t>
            </w:r>
          </w:p>
        </w:tc>
        <w:tc>
          <w:tcPr>
            <w:tcW w:w="4536" w:type="dxa"/>
            <w:vAlign w:val="center"/>
          </w:tcPr>
          <w:p w:rsidR="00C107B3" w:rsidRPr="00393265" w:rsidRDefault="00C107B3" w:rsidP="00C1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93265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Hồ sơ toàn bộ dự án; lưu trữ theo hồ sơ công việc; hồ sơ gói thầu</w:t>
            </w:r>
          </w:p>
        </w:tc>
      </w:tr>
    </w:tbl>
    <w:p w:rsidR="00F40F52" w:rsidRPr="00393265" w:rsidRDefault="00F40F52" w:rsidP="003F66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216DF" w:rsidRPr="00393265" w:rsidRDefault="003216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3216DF" w:rsidRPr="00393265" w:rsidSect="00393265">
      <w:footerReference w:type="default" r:id="rId7"/>
      <w:pgSz w:w="12240" w:h="15840"/>
      <w:pgMar w:top="1021" w:right="1021" w:bottom="102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7E" w:rsidRDefault="00440C7E" w:rsidP="00DA418B">
      <w:pPr>
        <w:spacing w:after="0" w:line="240" w:lineRule="auto"/>
      </w:pPr>
      <w:r>
        <w:separator/>
      </w:r>
    </w:p>
  </w:endnote>
  <w:endnote w:type="continuationSeparator" w:id="1">
    <w:p w:rsidR="00440C7E" w:rsidRDefault="00440C7E" w:rsidP="00DA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298844"/>
      <w:docPartObj>
        <w:docPartGallery w:val="Page Numbers (Bottom of Page)"/>
        <w:docPartUnique/>
      </w:docPartObj>
    </w:sdtPr>
    <w:sdtContent>
      <w:p w:rsidR="00DA418B" w:rsidRDefault="00DA418B">
        <w:pPr>
          <w:pStyle w:val="Footer"/>
          <w:jc w:val="center"/>
        </w:pPr>
        <w:r>
          <w:t>-</w:t>
        </w:r>
        <w:fldSimple w:instr=" PAGE   \* MERGEFORMAT ">
          <w:r w:rsidR="00260FE3">
            <w:rPr>
              <w:noProof/>
            </w:rPr>
            <w:t>3</w:t>
          </w:r>
        </w:fldSimple>
        <w:r>
          <w:t>-</w:t>
        </w:r>
      </w:p>
    </w:sdtContent>
  </w:sdt>
  <w:p w:rsidR="00DA418B" w:rsidRDefault="00DA4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7E" w:rsidRDefault="00440C7E" w:rsidP="00DA418B">
      <w:pPr>
        <w:spacing w:after="0" w:line="240" w:lineRule="auto"/>
      </w:pPr>
      <w:r>
        <w:separator/>
      </w:r>
    </w:p>
  </w:footnote>
  <w:footnote w:type="continuationSeparator" w:id="1">
    <w:p w:rsidR="00440C7E" w:rsidRDefault="00440C7E" w:rsidP="00DA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F52"/>
    <w:rsid w:val="00094B87"/>
    <w:rsid w:val="000D4FA0"/>
    <w:rsid w:val="000F0883"/>
    <w:rsid w:val="001B70D9"/>
    <w:rsid w:val="001D6534"/>
    <w:rsid w:val="001E60C7"/>
    <w:rsid w:val="00220823"/>
    <w:rsid w:val="00260FE3"/>
    <w:rsid w:val="0026455B"/>
    <w:rsid w:val="0029064D"/>
    <w:rsid w:val="003216DF"/>
    <w:rsid w:val="00393265"/>
    <w:rsid w:val="003F664B"/>
    <w:rsid w:val="00400CC1"/>
    <w:rsid w:val="00440C7E"/>
    <w:rsid w:val="004E03D2"/>
    <w:rsid w:val="0053180A"/>
    <w:rsid w:val="00590DEA"/>
    <w:rsid w:val="005B6882"/>
    <w:rsid w:val="00623B7E"/>
    <w:rsid w:val="006D553F"/>
    <w:rsid w:val="00725E54"/>
    <w:rsid w:val="007777EB"/>
    <w:rsid w:val="007B0730"/>
    <w:rsid w:val="007B19A4"/>
    <w:rsid w:val="007B4AF7"/>
    <w:rsid w:val="007F22A9"/>
    <w:rsid w:val="008A77D1"/>
    <w:rsid w:val="008C2161"/>
    <w:rsid w:val="008F679F"/>
    <w:rsid w:val="00955656"/>
    <w:rsid w:val="009D7C27"/>
    <w:rsid w:val="009E04C7"/>
    <w:rsid w:val="00A07772"/>
    <w:rsid w:val="00A54E49"/>
    <w:rsid w:val="00A704A2"/>
    <w:rsid w:val="00A9351B"/>
    <w:rsid w:val="00AC22C8"/>
    <w:rsid w:val="00B90D0C"/>
    <w:rsid w:val="00BB780C"/>
    <w:rsid w:val="00C107B3"/>
    <w:rsid w:val="00C435A7"/>
    <w:rsid w:val="00C45637"/>
    <w:rsid w:val="00C51693"/>
    <w:rsid w:val="00D52613"/>
    <w:rsid w:val="00DA418B"/>
    <w:rsid w:val="00DE2412"/>
    <w:rsid w:val="00E4733B"/>
    <w:rsid w:val="00E70655"/>
    <w:rsid w:val="00E7495D"/>
    <w:rsid w:val="00EF3998"/>
    <w:rsid w:val="00F35E57"/>
    <w:rsid w:val="00F40F52"/>
    <w:rsid w:val="00F83086"/>
    <w:rsid w:val="00FC2C43"/>
    <w:rsid w:val="00FC4E02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A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18B"/>
  </w:style>
  <w:style w:type="paragraph" w:styleId="Footer">
    <w:name w:val="footer"/>
    <w:basedOn w:val="Normal"/>
    <w:link w:val="FooterChar"/>
    <w:uiPriority w:val="99"/>
    <w:unhideWhenUsed/>
    <w:rsid w:val="00DA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6E49-CDA0-4251-9F44-8823FB2F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6</cp:revision>
  <cp:lastPrinted>2019-07-18T07:10:00Z</cp:lastPrinted>
  <dcterms:created xsi:type="dcterms:W3CDTF">2019-07-09T14:28:00Z</dcterms:created>
  <dcterms:modified xsi:type="dcterms:W3CDTF">2019-07-18T07:10:00Z</dcterms:modified>
</cp:coreProperties>
</file>